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ind w:firstLine="640"/>
        <w:jc w:val="center"/>
        <w:rPr>
          <w:rFonts w:hint="eastAsia" w:ascii="仿宋" w:hAnsi="仿宋" w:eastAsia="仿宋" w:cs="仿宋"/>
          <w:sz w:val="36"/>
          <w:szCs w:val="36"/>
        </w:rPr>
      </w:pPr>
      <w:r>
        <w:rPr>
          <w:rFonts w:hint="eastAsia" w:ascii="仿宋" w:hAnsi="仿宋" w:eastAsia="仿宋" w:cs="仿宋"/>
          <w:sz w:val="36"/>
          <w:szCs w:val="36"/>
        </w:rPr>
        <w:t>重庆市第八中学校</w:t>
      </w:r>
    </w:p>
    <w:p>
      <w:pPr>
        <w:pStyle w:val="6"/>
        <w:spacing w:after="0"/>
        <w:ind w:left="0" w:leftChars="-200" w:right="-512" w:rightChars="-244" w:hanging="420" w:firstLineChars="0"/>
        <w:jc w:val="center"/>
        <w:rPr>
          <w:rFonts w:hint="eastAsia" w:ascii="仿宋" w:hAnsi="仿宋" w:eastAsia="仿宋" w:cs="仿宋"/>
          <w:sz w:val="36"/>
          <w:szCs w:val="36"/>
          <w:lang w:eastAsia="zh-CN"/>
        </w:rPr>
      </w:pPr>
      <w:r>
        <w:rPr>
          <w:rFonts w:hint="eastAsia" w:ascii="仿宋" w:hAnsi="仿宋" w:eastAsia="仿宋" w:cs="仿宋"/>
          <w:sz w:val="36"/>
          <w:szCs w:val="36"/>
        </w:rPr>
        <w:t>“平安校园”安防监控系统建设</w:t>
      </w:r>
      <w:r>
        <w:rPr>
          <w:rFonts w:hint="eastAsia" w:ascii="仿宋" w:hAnsi="仿宋" w:eastAsia="仿宋" w:cs="仿宋"/>
          <w:sz w:val="36"/>
          <w:szCs w:val="36"/>
          <w:lang w:eastAsia="zh-CN"/>
        </w:rPr>
        <w:t>询价采购公告</w:t>
      </w:r>
    </w:p>
    <w:p>
      <w:pPr>
        <w:pStyle w:val="6"/>
        <w:spacing w:after="0"/>
        <w:ind w:left="0" w:leftChars="-200" w:right="-512" w:rightChars="-244" w:hanging="420" w:firstLineChars="0"/>
        <w:jc w:val="center"/>
        <w:rPr>
          <w:rFonts w:hint="eastAsia" w:ascii="仿宋" w:hAnsi="仿宋" w:eastAsia="仿宋" w:cs="仿宋"/>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outlineLvl w:val="9"/>
        <w:rPr>
          <w:rFonts w:hint="eastAsia" w:ascii="仿宋" w:hAnsi="仿宋" w:eastAsia="仿宋" w:cs="仿宋"/>
        </w:rPr>
      </w:pPr>
      <w:r>
        <w:rPr>
          <w:rFonts w:hint="eastAsia" w:ascii="仿宋" w:hAnsi="仿宋" w:eastAsia="仿宋" w:cs="仿宋"/>
        </w:rPr>
        <w:t>根据重庆市政府采购及重庆市第八中学校招投标相关规定，重庆市第八中学校“平安校园”安防监控系统建设采购项目已通过学校审批程序，现对外公开询价招标。</w:t>
      </w:r>
    </w:p>
    <w:p>
      <w:pPr>
        <w:pStyle w:val="3"/>
        <w:rPr>
          <w:rFonts w:hint="eastAsia" w:ascii="仿宋" w:hAnsi="仿宋" w:eastAsia="仿宋" w:cs="仿宋"/>
          <w:sz w:val="24"/>
          <w:szCs w:val="24"/>
        </w:rPr>
      </w:pPr>
      <w:r>
        <w:rPr>
          <w:rFonts w:hint="eastAsia" w:ascii="仿宋" w:hAnsi="仿宋" w:eastAsia="仿宋" w:cs="仿宋"/>
          <w:sz w:val="24"/>
          <w:szCs w:val="24"/>
        </w:rPr>
        <w:t>一、招标单位：重庆市第八中学校</w:t>
      </w:r>
    </w:p>
    <w:p>
      <w:pPr>
        <w:pStyle w:val="3"/>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keepNext w:val="0"/>
        <w:keepLines w:val="0"/>
        <w:pageBreakBefore w:val="0"/>
        <w:kinsoku/>
        <w:wordWrap/>
        <w:overflowPunct/>
        <w:topLinePunct w:val="0"/>
        <w:autoSpaceDE/>
        <w:autoSpaceDN/>
        <w:bidi w:val="0"/>
        <w:adjustRightInd/>
        <w:spacing w:after="0" w:line="360" w:lineRule="auto"/>
        <w:textAlignment w:val="auto"/>
        <w:outlineLvl w:val="9"/>
        <w:rPr>
          <w:rFonts w:hint="eastAsia" w:ascii="仿宋" w:hAnsi="仿宋" w:eastAsia="仿宋" w:cs="仿宋"/>
        </w:rPr>
      </w:pPr>
      <w:r>
        <w:rPr>
          <w:rFonts w:hint="eastAsia" w:ascii="仿宋" w:hAnsi="仿宋" w:eastAsia="仿宋" w:cs="仿宋"/>
        </w:rPr>
        <w:t>(一)项目内容</w:t>
      </w:r>
    </w:p>
    <w:tbl>
      <w:tblPr>
        <w:tblStyle w:val="9"/>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1962"/>
        <w:gridCol w:w="1813"/>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项目名称</w:t>
            </w:r>
          </w:p>
        </w:tc>
        <w:tc>
          <w:tcPr>
            <w:tcW w:w="1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最高限价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（万元）</w:t>
            </w:r>
          </w:p>
        </w:tc>
        <w:tc>
          <w:tcPr>
            <w:tcW w:w="1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投标保证金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（元）</w:t>
            </w:r>
          </w:p>
        </w:tc>
        <w:tc>
          <w:tcPr>
            <w:tcW w:w="16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630"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“平安校园”安防监控系统建设采购项目</w:t>
            </w:r>
          </w:p>
        </w:tc>
        <w:tc>
          <w:tcPr>
            <w:tcW w:w="1962"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6.0</w:t>
            </w:r>
            <w:r>
              <w:rPr>
                <w:rFonts w:hint="eastAsia" w:ascii="仿宋" w:hAnsi="仿宋" w:eastAsia="仿宋" w:cs="仿宋"/>
                <w:sz w:val="24"/>
                <w:szCs w:val="24"/>
              </w:rPr>
              <w:t>0</w:t>
            </w:r>
          </w:p>
        </w:tc>
        <w:tc>
          <w:tcPr>
            <w:tcW w:w="181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无</w:t>
            </w:r>
          </w:p>
        </w:tc>
        <w:tc>
          <w:tcPr>
            <w:tcW w:w="1655"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sz w:val="24"/>
                <w:szCs w:val="24"/>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after="0" w:line="480" w:lineRule="auto"/>
        <w:textAlignment w:val="auto"/>
        <w:outlineLvl w:val="9"/>
        <w:rPr>
          <w:rFonts w:hint="eastAsia" w:ascii="仿宋" w:hAnsi="仿宋" w:eastAsia="仿宋" w:cs="仿宋"/>
        </w:rPr>
      </w:pPr>
      <w:r>
        <w:rPr>
          <w:rFonts w:hint="eastAsia" w:ascii="仿宋" w:hAnsi="仿宋" w:eastAsia="仿宋" w:cs="仿宋"/>
        </w:rPr>
        <w:t>项目货物名称及技术参数需求</w:t>
      </w:r>
    </w:p>
    <w:tbl>
      <w:tblPr>
        <w:tblStyle w:val="9"/>
        <w:tblW w:w="10076" w:type="dxa"/>
        <w:jc w:val="center"/>
        <w:tblInd w:w="0" w:type="dxa"/>
        <w:tblLayout w:type="fixed"/>
        <w:tblCellMar>
          <w:top w:w="15" w:type="dxa"/>
          <w:left w:w="15" w:type="dxa"/>
          <w:bottom w:w="15" w:type="dxa"/>
          <w:right w:w="15" w:type="dxa"/>
        </w:tblCellMar>
      </w:tblPr>
      <w:tblGrid>
        <w:gridCol w:w="570"/>
        <w:gridCol w:w="2506"/>
        <w:gridCol w:w="787"/>
        <w:gridCol w:w="816"/>
        <w:gridCol w:w="5397"/>
      </w:tblGrid>
      <w:tr>
        <w:tblPrEx>
          <w:tblLayout w:type="fixed"/>
          <w:tblCellMar>
            <w:top w:w="15" w:type="dxa"/>
            <w:left w:w="15" w:type="dxa"/>
            <w:bottom w:w="15" w:type="dxa"/>
            <w:right w:w="15" w:type="dxa"/>
          </w:tblCellMar>
        </w:tblPrEx>
        <w:trPr>
          <w:trHeight w:val="37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序号</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名称</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单位</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 xml:space="preserve"> 技术参数 </w:t>
            </w:r>
          </w:p>
        </w:tc>
      </w:tr>
      <w:tr>
        <w:tblPrEx>
          <w:tblLayout w:type="fixed"/>
          <w:tblCellMar>
            <w:top w:w="15" w:type="dxa"/>
            <w:left w:w="15" w:type="dxa"/>
            <w:bottom w:w="15" w:type="dxa"/>
            <w:right w:w="15" w:type="dxa"/>
          </w:tblCellMar>
        </w:tblPrEx>
        <w:trPr>
          <w:trHeight w:val="123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lang w:bidi="ar"/>
              </w:rPr>
              <w:t>1</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32路数字硬盘录像机NVR</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eastAsia="zh-CN"/>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1、可接驳符合ONVIF、PSIA、RTSP标准及众多主流厂商的网络摄像机；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2、最大支持600万像素高清网络视频的预览、存储与回放；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3、支持IPC集中管理，包括IPC参数配置、信息的导入/导出、语音对讲和升级等功能；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4、支持2个HDMI和2个VGA同时输出，支持4K高清分辨率输出；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5、支持海康SMART IPC越界、进入区域、离开区域、区域入侵、徘徊、人员聚焦、快速移动、非法停车、物品遗留、物品拿取、人脸、车牌、音频输入异常、声强突变、虚焦以及场景变更等多种智能侦测接入与联动；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6、支持即时回放功能，在预览画面下对指定通道的当前录像进行回放，并且不影响其他通道预览；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7、支持最大16路同步回放及多路同步倒放；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8、支持标签定义、查询、回放录像文件；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9、支持重要录像文件加锁保护功能；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10、支持16个SATA接口，1个eSATA盘库，可用于录像和备份；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11、支持网络检测（网络流量监控、网络抓包、网络资源统计）功能；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12、具备ONVIF协议，支持最新ONVIF 2.3规范，并向下兼容；支持GB/T28181协议；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rPr>
              <w:t>13、具备TCP/IP、UDP、RTP/RTSP、DHCP、PPPOE、DDNS、NTP等丰富的网络协议；具备Upnp协议，无需设置自动实现端口映射配置，并内置专业动态域名解析服务，实现全球网络任意访问</w:t>
            </w:r>
            <w:r>
              <w:rPr>
                <w:rFonts w:hint="eastAsia" w:ascii="仿宋" w:hAnsi="仿宋" w:eastAsia="仿宋" w:cs="仿宋"/>
                <w:bCs/>
                <w:color w:val="000000"/>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lang w:val="en-US" w:eastAsia="zh-CN"/>
              </w:rPr>
            </w:pPr>
            <w:r>
              <w:rPr>
                <w:rFonts w:hint="eastAsia" w:ascii="仿宋" w:hAnsi="仿宋" w:eastAsia="仿宋" w:cs="仿宋"/>
                <w:i w:val="0"/>
                <w:color w:val="000000"/>
                <w:kern w:val="0"/>
                <w:sz w:val="21"/>
                <w:szCs w:val="21"/>
                <w:u w:val="none"/>
                <w:lang w:val="en-US" w:eastAsia="zh-CN" w:bidi="ar"/>
              </w:rPr>
              <w:t>★</w:t>
            </w:r>
            <w:r>
              <w:rPr>
                <w:rFonts w:hint="eastAsia" w:ascii="仿宋" w:hAnsi="仿宋" w:eastAsia="仿宋" w:cs="仿宋"/>
                <w:bCs/>
                <w:color w:val="000000"/>
                <w:sz w:val="21"/>
                <w:szCs w:val="21"/>
                <w:lang w:val="en-US" w:eastAsia="zh-CN"/>
              </w:rPr>
              <w:t>14、NVR须无缝接入重庆八中沙坪坝校区已建成的平安校园监控系统和重庆市公安局应急指挥管理平台，须提供设备制造商能与重庆八中渝北校区已建成的平安校园监控系统和重庆市公安局应急指挥管理平台无缝接入的承诺书和参与投标的授权书并盖公章，本次招标涵盖互联接入相关费用。</w:t>
            </w:r>
          </w:p>
        </w:tc>
      </w:tr>
      <w:tr>
        <w:tblPrEx>
          <w:tblLayout w:type="fixed"/>
          <w:tblCellMar>
            <w:top w:w="15" w:type="dxa"/>
            <w:left w:w="15" w:type="dxa"/>
            <w:bottom w:w="15" w:type="dxa"/>
            <w:right w:w="15" w:type="dxa"/>
          </w:tblCellMar>
        </w:tblPrEx>
        <w:trPr>
          <w:trHeight w:val="123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2</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红外高清摄像机</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eastAsia="zh-CN"/>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安装位置：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A、蓝球馆+排球馆通道：2台；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B、蓝球馆内：2台；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C、排球馆内：1台；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D、左右形体室内：2台；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E、健身室内：1台；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技术参数：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1、具有300万像素 CMOS传感器；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2、内置一体化高速电动变焦，自动跟随聚焦镜头，变焦同时快速完成聚焦，变焦过程画面不能完全虚焦；</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3、分辨率不低于2048x1536；</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4、需具备人脸检测、客流统计、区域入侵检测、越界检测、徘徊、人员聚集、场景变更、虚焦检测、音频异常检测等功能；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5、需具有实时视频透雾功能，电子防抖功能，ROI感兴趣区域设置、视频水印、区域裁剪功能；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摄像机能够在-30~60摄氏度，湿度小于93%环境下稳定工作；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6、不低于IP67防尘防水等级；</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7、需具有1个RJ-45 10M/100M/1000M自适应网络接口；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rPr>
              <w:t>8、需同时支持DC12V和POE供电，且在不小于DC12V±30%范围内变化时可以正常工作</w:t>
            </w:r>
            <w:r>
              <w:rPr>
                <w:rFonts w:hint="eastAsia" w:ascii="仿宋" w:hAnsi="仿宋" w:eastAsia="仿宋" w:cs="仿宋"/>
                <w:bCs/>
                <w:color w:val="000000"/>
                <w:sz w:val="21"/>
                <w:szCs w:val="21"/>
                <w:lang w:eastAsia="zh-CN"/>
              </w:rPr>
              <w:t>。</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lang w:bidi="ar"/>
              </w:rPr>
              <w:t>3</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NVR专用录像硬盘</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16</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块</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24小时不间断录像可存储≥90天容量（3个月）</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lang w:bidi="ar"/>
              </w:rPr>
              <w:t>4</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摄像机电源逆变器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eastAsia="zh-CN"/>
              </w:rPr>
              <w:t>个</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lang w:val="en-US" w:eastAsia="zh-CN"/>
              </w:rPr>
              <w:t>DC12V/2A，</w:t>
            </w:r>
            <w:r>
              <w:rPr>
                <w:rFonts w:hint="eastAsia" w:ascii="仿宋" w:hAnsi="仿宋" w:eastAsia="仿宋" w:cs="仿宋"/>
                <w:bCs/>
                <w:color w:val="000000"/>
                <w:sz w:val="21"/>
                <w:szCs w:val="21"/>
              </w:rPr>
              <w:t>室内/外防水型，可有效防雷击</w:t>
            </w:r>
          </w:p>
        </w:tc>
      </w:tr>
      <w:tr>
        <w:tblPrEx>
          <w:tblLayout w:type="fixed"/>
          <w:tblCellMar>
            <w:top w:w="15" w:type="dxa"/>
            <w:left w:w="15" w:type="dxa"/>
            <w:bottom w:w="15" w:type="dxa"/>
            <w:right w:w="15" w:type="dxa"/>
          </w:tblCellMar>
        </w:tblPrEx>
        <w:trPr>
          <w:trHeight w:val="277"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lang w:bidi="ar"/>
              </w:rPr>
              <w:t>5</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摄像机支架</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eastAsia="zh-CN"/>
              </w:rPr>
              <w:t>个</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免拆装设计，摄像机可直接固定安装底座上，支架带出线孔，安装更加方便；摄像机安装座可垂直、水平自由旋转，方便摄像机角度调整；采用精密钢板整体成形工艺，高强度，安全可靠；采用凸点断感设计理念，便于摄像机安装角度调节。</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kern w:val="0"/>
                <w:sz w:val="21"/>
                <w:szCs w:val="21"/>
                <w:lang w:val="en-US" w:eastAsia="zh-CN" w:bidi="ar"/>
              </w:rPr>
              <w:t>6</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摄像机电源线</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val="en-US" w:eastAsia="zh-CN"/>
              </w:rPr>
            </w:pPr>
            <w:r>
              <w:rPr>
                <w:rFonts w:hint="eastAsia" w:ascii="仿宋" w:hAnsi="仿宋" w:eastAsia="仿宋" w:cs="仿宋"/>
                <w:bCs/>
                <w:color w:val="000000"/>
                <w:sz w:val="21"/>
                <w:szCs w:val="21"/>
                <w:lang w:val="en-US" w:eastAsia="zh-CN"/>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sz w:val="21"/>
                <w:szCs w:val="21"/>
                <w:lang w:eastAsia="zh-CN"/>
              </w:rPr>
            </w:pPr>
            <w:r>
              <w:rPr>
                <w:rFonts w:hint="eastAsia" w:ascii="仿宋" w:hAnsi="仿宋" w:eastAsia="仿宋" w:cs="仿宋"/>
                <w:bCs/>
                <w:color w:val="000000"/>
                <w:sz w:val="21"/>
                <w:szCs w:val="21"/>
                <w:lang w:eastAsia="zh-CN"/>
              </w:rPr>
              <w:t>圈</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国标纯铜软线</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7</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摄像机信号线</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箱</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国标纯铜软线</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8</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光纤收发器及单模跳纤</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遵循IEEE 802.3 、IEEE 802.3u和100Base-FX标准；10/100Mbps的数据传输率；支持全双工和半双工的工作方式；提供标准RJ45接口和SC光纤接口；RJ45接口支持10Mbps、100Mbps、1000Mbps自动协商功能；RJ45接口具有快速交换机的功能；EMI认证：CE 、FCC 、VCCI 、C-Tick；</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光纤类型：单模；光纤接口类型：SC；光波长：1310nm；传输距离：25Km；最大发射光功率： -12.0 dBm；最小发射光功率 ：-19.0 dBm；灵敏度： -34.0 dBm；光纤链路损耗：15.0 。</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9</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以太网交换机</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1、传输速率：10/100/1000Mbps，背板带宽48Gbps，包转发率36Mbps；</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2、端口数量：24个10/100/1000Mbps自适应以太网端口；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3、网络标准：IEEE 802.3，IEEE 802.3u，IEEE 802.1x，IEEE 802.1q，IEEE 802.1p，IEEE 802.1d，IEEE 802.1s，IEEE 802.1w，IEEE 802.1ad，IEEE 802.3z，支持QOS；</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4、电源电压：AC 100-240V，50-60Hz，电源功率：＜15W；</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5、环境标准工作温度：0-45℃，工作湿度：5%-95% 无凝结，存储湿度：10%-90% 无凝结，其它参数散热方式：无风扇，自然风散热。</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配电系统</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套</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防雷PDU、空气断路器、分级空开、配电电缆等</w:t>
            </w:r>
          </w:p>
        </w:tc>
      </w:tr>
      <w:tr>
        <w:tblPrEx>
          <w:tblLayout w:type="fixed"/>
          <w:tblCellMar>
            <w:top w:w="15" w:type="dxa"/>
            <w:left w:w="15" w:type="dxa"/>
            <w:bottom w:w="15" w:type="dxa"/>
            <w:right w:w="15" w:type="dxa"/>
          </w:tblCellMar>
        </w:tblPrEx>
        <w:trPr>
          <w:trHeight w:val="459"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11</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PVC管材及配件</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厚型，阻燃，防水，可冷弯。</w:t>
            </w:r>
          </w:p>
        </w:tc>
      </w:tr>
      <w:tr>
        <w:tblPrEx>
          <w:tblLayout w:type="fixed"/>
          <w:tblCellMar>
            <w:top w:w="15" w:type="dxa"/>
            <w:left w:w="15" w:type="dxa"/>
            <w:bottom w:w="15" w:type="dxa"/>
            <w:right w:w="15" w:type="dxa"/>
          </w:tblCellMar>
        </w:tblPrEx>
        <w:trPr>
          <w:trHeight w:val="57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12</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其它辅材</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000000"/>
                <w:kern w:val="0"/>
                <w:sz w:val="21"/>
                <w:szCs w:val="21"/>
                <w:lang w:eastAsia="zh-CN" w:bidi="ar"/>
              </w:rPr>
            </w:pPr>
            <w:r>
              <w:rPr>
                <w:rFonts w:hint="eastAsia" w:ascii="仿宋" w:hAnsi="仿宋" w:eastAsia="仿宋" w:cs="仿宋"/>
                <w:bCs/>
                <w:color w:val="000000"/>
                <w:kern w:val="0"/>
                <w:sz w:val="21"/>
                <w:szCs w:val="21"/>
                <w:lang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仿宋" w:hAnsi="仿宋" w:eastAsia="仿宋" w:cs="仿宋"/>
                <w:bCs/>
                <w:color w:val="000000"/>
                <w:kern w:val="0"/>
                <w:sz w:val="21"/>
                <w:szCs w:val="21"/>
                <w:lang w:bidi="ar"/>
              </w:rPr>
            </w:pPr>
            <w:r>
              <w:rPr>
                <w:rFonts w:hint="eastAsia" w:ascii="仿宋" w:hAnsi="仿宋" w:eastAsia="仿宋" w:cs="仿宋"/>
                <w:bCs/>
                <w:color w:val="000000"/>
                <w:kern w:val="0"/>
                <w:sz w:val="21"/>
                <w:szCs w:val="21"/>
                <w:lang w:bidi="ar"/>
              </w:rPr>
              <w:t>混凝土结构地面开槽、无氧铜镀金水晶头、各型接线端子、塑胶扎带、标签环、绕线带、3M防水电工胶带、膨胀钉、标件锣丝、手孔井、线路标识等。</w:t>
            </w:r>
          </w:p>
        </w:tc>
      </w:tr>
    </w:tbl>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sz w:val="24"/>
          <w:szCs w:val="24"/>
        </w:rPr>
      </w:pPr>
      <w:r>
        <w:rPr>
          <w:rFonts w:hint="eastAsia" w:ascii="仿宋" w:hAnsi="仿宋" w:eastAsia="仿宋" w:cs="仿宋"/>
          <w:sz w:val="24"/>
          <w:szCs w:val="24"/>
        </w:rPr>
        <w:t>三、完成时间</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rPr>
      </w:pPr>
      <w:r>
        <w:rPr>
          <w:rFonts w:hint="eastAsia" w:ascii="仿宋" w:hAnsi="仿宋" w:eastAsia="仿宋" w:cs="仿宋"/>
        </w:rPr>
        <w:t>签订合同后</w:t>
      </w:r>
      <w:r>
        <w:rPr>
          <w:rFonts w:hint="eastAsia" w:ascii="仿宋" w:hAnsi="仿宋" w:eastAsia="仿宋" w:cs="仿宋"/>
          <w:b/>
          <w:lang w:val="en-US" w:eastAsia="zh-CN"/>
        </w:rPr>
        <w:t>1</w:t>
      </w:r>
      <w:r>
        <w:rPr>
          <w:rFonts w:hint="eastAsia" w:ascii="仿宋" w:hAnsi="仿宋" w:eastAsia="仿宋" w:cs="仿宋"/>
          <w:b/>
        </w:rPr>
        <w:t>0个</w:t>
      </w:r>
      <w:r>
        <w:rPr>
          <w:rFonts w:hint="eastAsia" w:ascii="仿宋" w:hAnsi="仿宋" w:eastAsia="仿宋" w:cs="仿宋"/>
          <w:bCs/>
        </w:rPr>
        <w:t>日历日</w:t>
      </w:r>
      <w:r>
        <w:rPr>
          <w:rFonts w:hint="eastAsia" w:ascii="仿宋" w:hAnsi="仿宋" w:eastAsia="仿宋" w:cs="仿宋"/>
        </w:rPr>
        <w:t>内完成，包括系统设备安装及调试时间。</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sz w:val="24"/>
          <w:szCs w:val="24"/>
        </w:rPr>
      </w:pPr>
      <w:r>
        <w:rPr>
          <w:rFonts w:hint="eastAsia" w:ascii="仿宋" w:hAnsi="仿宋" w:eastAsia="仿宋" w:cs="仿宋"/>
          <w:sz w:val="24"/>
          <w:szCs w:val="24"/>
        </w:rPr>
        <w:t>四、投标资质要求</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rPr>
      </w:pPr>
      <w:r>
        <w:rPr>
          <w:rFonts w:hint="eastAsia" w:ascii="仿宋" w:hAnsi="仿宋" w:eastAsia="仿宋" w:cs="仿宋"/>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rPr>
      </w:pPr>
      <w:r>
        <w:rPr>
          <w:rFonts w:hint="eastAsia" w:ascii="仿宋" w:hAnsi="仿宋" w:eastAsia="仿宋" w:cs="仿宋"/>
        </w:rPr>
        <w:t>2、具有良好的商业信誉和健全的财务会计制度；</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rPr>
      </w:pPr>
      <w:r>
        <w:rPr>
          <w:rFonts w:hint="eastAsia" w:ascii="仿宋" w:hAnsi="仿宋" w:eastAsia="仿宋" w:cs="仿宋"/>
        </w:rPr>
        <w:t>3、具有履行合同所必需的设备和专业技术能力；</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rPr>
      </w:pPr>
      <w:r>
        <w:rPr>
          <w:rFonts w:hint="eastAsia" w:ascii="仿宋" w:hAnsi="仿宋" w:eastAsia="仿宋" w:cs="仿宋"/>
        </w:rPr>
        <w:t>4、有依法缴纳税收和社会保障资金的良好记录；</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lang w:eastAsia="zh-CN"/>
        </w:rPr>
      </w:pPr>
      <w:r>
        <w:rPr>
          <w:rFonts w:hint="eastAsia" w:ascii="仿宋" w:hAnsi="仿宋" w:eastAsia="仿宋" w:cs="仿宋"/>
        </w:rPr>
        <w:t>5、参加政府采购活动近三年内，在经营活动中没有重大违法记录</w:t>
      </w:r>
      <w:r>
        <w:rPr>
          <w:rFonts w:hint="eastAsia" w:ascii="仿宋" w:hAnsi="仿宋" w:eastAsia="仿宋" w:cs="仿宋"/>
          <w:lang w:eastAsia="zh-CN"/>
        </w:rPr>
        <w:t>；</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lang w:val="en-US" w:eastAsia="zh-CN"/>
        </w:rPr>
      </w:pPr>
      <w:r>
        <w:rPr>
          <w:rFonts w:hint="eastAsia" w:ascii="仿宋" w:hAnsi="仿宋" w:eastAsia="仿宋" w:cs="仿宋"/>
          <w:lang w:val="en-US" w:eastAsia="zh-CN"/>
        </w:rPr>
        <w:t>6</w:t>
      </w:r>
      <w:r>
        <w:rPr>
          <w:rFonts w:hint="eastAsia" w:ascii="仿宋" w:hAnsi="仿宋" w:eastAsia="仿宋" w:cs="仿宋"/>
        </w:rPr>
        <w:t>、</w:t>
      </w:r>
      <w:r>
        <w:rPr>
          <w:rFonts w:hint="eastAsia" w:ascii="仿宋" w:hAnsi="仿宋" w:eastAsia="仿宋" w:cs="仿宋"/>
          <w:lang w:val="en-US" w:eastAsia="zh-CN"/>
        </w:rPr>
        <w:t>投标人投标产品须无缝接入重庆八中沙坪坝校区已建成的平安校园监控系统和重庆市公安局应急指挥管理平台，投标人须提供设备制造商能与重庆八中沙坪坝校区已建成的平安校园监控系统和重庆市公安局应急指挥管理平台无缝接入的承诺书和参与投标的授权书并盖公章，未提供相关证明文件的投标人作废标处理。</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b/>
          <w:bCs/>
        </w:rPr>
      </w:pPr>
      <w:r>
        <w:rPr>
          <w:rFonts w:hint="eastAsia" w:ascii="仿宋" w:hAnsi="仿宋" w:eastAsia="仿宋" w:cs="仿宋"/>
          <w:b/>
          <w:bCs/>
        </w:rPr>
        <w:t>五、招标文件的获取</w:t>
      </w:r>
    </w:p>
    <w:p>
      <w:pPr>
        <w:pStyle w:val="6"/>
        <w:pageBreakBefore w:val="0"/>
        <w:kinsoku/>
        <w:wordWrap/>
        <w:overflowPunct/>
        <w:topLinePunct w:val="0"/>
        <w:autoSpaceDE/>
        <w:autoSpaceDN/>
        <w:bidi w:val="0"/>
        <w:adjustRightInd/>
        <w:spacing w:after="0" w:line="324" w:lineRule="auto"/>
        <w:ind w:firstLine="120" w:firstLineChars="50"/>
        <w:jc w:val="both"/>
        <w:textAlignment w:val="auto"/>
        <w:rPr>
          <w:rFonts w:hint="eastAsia" w:ascii="仿宋" w:hAnsi="仿宋" w:eastAsia="仿宋" w:cs="仿宋"/>
        </w:rPr>
      </w:pPr>
      <w:r>
        <w:rPr>
          <w:rFonts w:hint="eastAsia" w:ascii="仿宋" w:hAnsi="仿宋" w:eastAsia="仿宋" w:cs="仿宋"/>
        </w:rPr>
        <w:t>通过我校网站（http://www.cqbz.cn）通知公告栏进行下载。</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六、投标书递交 </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rPr>
      </w:pPr>
      <w:r>
        <w:rPr>
          <w:rFonts w:hint="eastAsia" w:ascii="仿宋" w:hAnsi="仿宋" w:eastAsia="仿宋" w:cs="仿宋"/>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lang w:val="en-US" w:eastAsia="zh-CN"/>
        </w:rPr>
        <w:t>3</w:t>
      </w:r>
      <w:r>
        <w:rPr>
          <w:rFonts w:hint="eastAsia" w:ascii="仿宋" w:hAnsi="仿宋" w:eastAsia="仿宋" w:cs="仿宋"/>
        </w:rPr>
        <w:t>年。</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rPr>
      </w:pPr>
      <w:r>
        <w:rPr>
          <w:rFonts w:hint="eastAsia" w:ascii="仿宋" w:hAnsi="仿宋" w:eastAsia="仿宋" w:cs="仿宋"/>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rPr>
      </w:pPr>
      <w:r>
        <w:rPr>
          <w:rFonts w:hint="eastAsia" w:ascii="仿宋" w:hAnsi="仿宋" w:eastAsia="仿宋" w:cs="仿宋"/>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七、评标办法</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八、投标时间和投标地点</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2018年</w:t>
      </w:r>
      <w:r>
        <w:rPr>
          <w:rFonts w:hint="eastAsia" w:ascii="仿宋" w:hAnsi="仿宋" w:eastAsia="仿宋" w:cs="仿宋"/>
          <w:color w:val="auto"/>
          <w:szCs w:val="21"/>
          <w:lang w:val="en-US" w:eastAsia="zh-CN"/>
        </w:rPr>
        <w:t>10</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22</w:t>
      </w:r>
      <w:r>
        <w:rPr>
          <w:rFonts w:hint="eastAsia" w:ascii="仿宋" w:hAnsi="仿宋" w:eastAsia="仿宋" w:cs="仿宋"/>
          <w:color w:val="auto"/>
          <w:szCs w:val="21"/>
        </w:rPr>
        <w:t>日</w:t>
      </w:r>
      <w:r>
        <w:rPr>
          <w:rFonts w:hint="eastAsia" w:ascii="仿宋" w:hAnsi="仿宋" w:eastAsia="仿宋" w:cs="仿宋"/>
          <w:color w:val="auto"/>
          <w:szCs w:val="21"/>
          <w:lang w:val="en-US" w:eastAsia="zh-CN"/>
        </w:rPr>
        <w:t>9</w:t>
      </w:r>
      <w:r>
        <w:rPr>
          <w:rFonts w:hint="eastAsia" w:ascii="仿宋" w:hAnsi="仿宋" w:eastAsia="仿宋" w:cs="仿宋"/>
          <w:color w:val="auto"/>
          <w:szCs w:val="21"/>
        </w:rPr>
        <w:t>:30~1</w:t>
      </w:r>
      <w:r>
        <w:rPr>
          <w:rFonts w:hint="eastAsia" w:ascii="仿宋" w:hAnsi="仿宋" w:eastAsia="仿宋" w:cs="仿宋"/>
          <w:color w:val="auto"/>
          <w:szCs w:val="21"/>
          <w:lang w:val="en-US" w:eastAsia="zh-CN"/>
        </w:rPr>
        <w:t>2</w:t>
      </w:r>
      <w:r>
        <w:rPr>
          <w:rFonts w:hint="eastAsia" w:ascii="仿宋" w:hAnsi="仿宋" w:eastAsia="仿宋" w:cs="仿宋"/>
          <w:color w:val="auto"/>
          <w:szCs w:val="21"/>
        </w:rPr>
        <w:t>:00（北京时间）</w:t>
      </w:r>
    </w:p>
    <w:p>
      <w:pPr>
        <w:pageBreakBefore w:val="0"/>
        <w:kinsoku/>
        <w:wordWrap/>
        <w:overflowPunct/>
        <w:topLinePunct w:val="0"/>
        <w:autoSpaceDE/>
        <w:autoSpaceDN/>
        <w:bidi w:val="0"/>
        <w:adjustRightInd/>
        <w:spacing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eastAsia="zh-CN"/>
        </w:rPr>
        <w:t>谢</w:t>
      </w:r>
      <w:r>
        <w:rPr>
          <w:rFonts w:hint="eastAsia" w:ascii="仿宋" w:hAnsi="仿宋" w:eastAsia="仿宋" w:cs="仿宋"/>
          <w:color w:val="auto"/>
        </w:rPr>
        <w:t>老师</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rPr>
        <w:t>联系电话：023-6</w:t>
      </w:r>
      <w:r>
        <w:rPr>
          <w:rFonts w:hint="eastAsia" w:ascii="仿宋" w:hAnsi="仿宋" w:eastAsia="仿宋" w:cs="仿宋"/>
          <w:color w:val="auto"/>
          <w:lang w:val="en-US" w:eastAsia="zh-CN"/>
        </w:rPr>
        <w:t>5013045</w:t>
      </w:r>
      <w:bookmarkStart w:id="10" w:name="_GoBack"/>
      <w:bookmarkEnd w:id="10"/>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九、付款方式：</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十、投标文件的编制内容及格式</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rPr>
      </w:pPr>
      <w:r>
        <w:rPr>
          <w:rFonts w:hint="eastAsia" w:ascii="仿宋" w:hAnsi="仿宋" w:eastAsia="仿宋" w:cs="仿宋"/>
        </w:rPr>
        <w:t>（一）投标文件编制内容</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1、报价明细表（附格式）。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3、法定代表人身份证明书（附格式）；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4、法定代表人授权委托书（附格式）；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5、诚信声明（附格式）；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6、投标函（附格式）；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7、售后服务方案（格式自拟）。</w:t>
      </w:r>
    </w:p>
    <w:p>
      <w:pPr>
        <w:snapToGrid w:val="0"/>
        <w:spacing w:line="440" w:lineRule="exact"/>
        <w:ind w:firstLine="480" w:firstLineChars="200"/>
        <w:rPr>
          <w:rFonts w:hint="eastAsia" w:ascii="仿宋" w:hAnsi="仿宋" w:eastAsia="仿宋" w:cs="仿宋"/>
          <w:sz w:val="24"/>
          <w:szCs w:val="24"/>
        </w:rPr>
      </w:pPr>
    </w:p>
    <w:p>
      <w:pPr>
        <w:widowControl/>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snapToGrid w:val="0"/>
        <w:spacing w:line="500" w:lineRule="exact"/>
        <w:rPr>
          <w:rFonts w:hint="eastAsia" w:ascii="仿宋" w:hAnsi="仿宋" w:eastAsia="仿宋" w:cs="仿宋"/>
          <w:sz w:val="24"/>
          <w:szCs w:val="24"/>
        </w:rPr>
      </w:pPr>
      <w:r>
        <w:rPr>
          <w:rFonts w:hint="eastAsia" w:ascii="仿宋" w:hAnsi="仿宋" w:eastAsia="仿宋" w:cs="仿宋"/>
          <w:sz w:val="24"/>
          <w:szCs w:val="24"/>
        </w:rPr>
        <w:t>（二）投标文件格式</w:t>
      </w:r>
    </w:p>
    <w:p>
      <w:pPr>
        <w:snapToGrid w:val="0"/>
        <w:spacing w:line="50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spacing w:line="50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9"/>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相关信息（品牌、规格型号、制造商、产地等）</w:t>
            </w:r>
          </w:p>
        </w:tc>
        <w:tc>
          <w:tcPr>
            <w:tcW w:w="780"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spacing w:line="24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jc w:val="center"/>
              <w:rPr>
                <w:rFonts w:hint="eastAsia" w:ascii="仿宋" w:hAnsi="仿宋" w:eastAsia="仿宋" w:cs="仿宋"/>
                <w:sz w:val="24"/>
                <w:szCs w:val="24"/>
              </w:rPr>
            </w:pPr>
          </w:p>
        </w:tc>
        <w:tc>
          <w:tcPr>
            <w:tcW w:w="4157" w:type="dxa"/>
          </w:tcPr>
          <w:p>
            <w:pPr>
              <w:jc w:val="center"/>
              <w:rPr>
                <w:rFonts w:hint="eastAsia" w:ascii="仿宋" w:hAnsi="仿宋" w:eastAsia="仿宋" w:cs="仿宋"/>
                <w:sz w:val="24"/>
                <w:szCs w:val="24"/>
              </w:rPr>
            </w:pPr>
          </w:p>
        </w:tc>
        <w:tc>
          <w:tcPr>
            <w:tcW w:w="780"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c>
          <w:tcPr>
            <w:tcW w:w="879"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hint="eastAsia" w:ascii="仿宋" w:hAnsi="仿宋" w:eastAsia="仿宋" w:cs="仿宋"/>
                <w:sz w:val="24"/>
                <w:szCs w:val="24"/>
              </w:rPr>
            </w:pPr>
          </w:p>
        </w:tc>
        <w:tc>
          <w:tcPr>
            <w:tcW w:w="124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jc w:val="center"/>
              <w:rPr>
                <w:rFonts w:hint="eastAsia" w:ascii="仿宋" w:hAnsi="仿宋" w:eastAsia="仿宋" w:cs="仿宋"/>
                <w:sz w:val="24"/>
                <w:szCs w:val="24"/>
              </w:rPr>
            </w:pPr>
          </w:p>
        </w:tc>
      </w:tr>
    </w:tbl>
    <w:p>
      <w:pPr>
        <w:spacing w:line="500" w:lineRule="exact"/>
        <w:ind w:firstLine="480" w:firstLineChars="200"/>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rPr>
      </w:pPr>
    </w:p>
    <w:p>
      <w:pPr>
        <w:spacing w:line="50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p>
    <w:p>
      <w:pPr>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500" w:lineRule="exact"/>
        <w:ind w:firstLine="482" w:firstLineChars="200"/>
        <w:rPr>
          <w:rFonts w:hint="eastAsia" w:ascii="仿宋" w:hAnsi="仿宋" w:eastAsia="仿宋" w:cs="仿宋"/>
          <w:b/>
          <w:sz w:val="24"/>
          <w:szCs w:val="24"/>
        </w:rPr>
      </w:pPr>
      <w:bookmarkStart w:id="1" w:name="_Toc322965783"/>
      <w:bookmarkStart w:id="2" w:name="_Toc313883490"/>
      <w:bookmarkStart w:id="3" w:name="_Toc340223171"/>
      <w:bookmarkStart w:id="4" w:name="_Toc316479515"/>
    </w:p>
    <w:p>
      <w:pPr>
        <w:spacing w:line="500" w:lineRule="exact"/>
        <w:ind w:firstLine="482" w:firstLineChars="200"/>
        <w:rPr>
          <w:rFonts w:hint="eastAsia" w:ascii="仿宋" w:hAnsi="仿宋" w:eastAsia="仿宋" w:cs="仿宋"/>
          <w:b/>
          <w:sz w:val="24"/>
          <w:szCs w:val="24"/>
        </w:rPr>
      </w:pPr>
    </w:p>
    <w:bookmarkEnd w:id="1"/>
    <w:bookmarkEnd w:id="2"/>
    <w:bookmarkEnd w:id="3"/>
    <w:bookmarkEnd w:id="4"/>
    <w:p>
      <w:pPr>
        <w:widowControl/>
        <w:jc w:val="left"/>
        <w:rPr>
          <w:rFonts w:hint="eastAsia" w:ascii="仿宋" w:hAnsi="仿宋" w:eastAsia="仿宋" w:cs="仿宋"/>
          <w:sz w:val="24"/>
          <w:szCs w:val="24"/>
        </w:rPr>
      </w:pPr>
      <w:r>
        <w:rPr>
          <w:rFonts w:hint="eastAsia" w:ascii="仿宋" w:hAnsi="仿宋" w:eastAsia="仿宋" w:cs="仿宋"/>
          <w:sz w:val="24"/>
          <w:szCs w:val="24"/>
        </w:rPr>
        <w:br w:type="page"/>
      </w:r>
    </w:p>
    <w:p>
      <w:pPr>
        <w:widowControl/>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2、法定代表人身份证明书（格式）</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rPr>
        <w:t>3、法定代表人授权委托书（格式）</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rPr>
        <w:t>4、诚信声明（格式）</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snapToGrid w:val="0"/>
        <w:spacing w:before="156" w:beforeLines="50" w:line="500" w:lineRule="exact"/>
        <w:jc w:val="center"/>
        <w:rPr>
          <w:rFonts w:hint="eastAsia" w:ascii="仿宋" w:hAnsi="仿宋" w:eastAsia="仿宋" w:cs="仿宋"/>
          <w:sz w:val="24"/>
          <w:szCs w:val="24"/>
        </w:rPr>
      </w:pPr>
      <w:r>
        <w:rPr>
          <w:rFonts w:hint="eastAsia" w:ascii="仿宋" w:hAnsi="仿宋" w:eastAsia="仿宋" w:cs="仿宋"/>
          <w:sz w:val="24"/>
          <w:szCs w:val="24"/>
        </w:rPr>
        <w:t>5、投标函（格式）</w:t>
      </w:r>
    </w:p>
    <w:p>
      <w:pPr>
        <w:spacing w:line="500" w:lineRule="exact"/>
        <w:rPr>
          <w:rFonts w:hint="eastAsia" w:ascii="仿宋" w:hAnsi="仿宋" w:eastAsia="仿宋" w:cs="仿宋"/>
          <w:sz w:val="24"/>
          <w:szCs w:val="24"/>
        </w:rPr>
      </w:pPr>
    </w:p>
    <w:p>
      <w:pPr>
        <w:spacing w:line="5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spacing w:line="500" w:lineRule="exact"/>
        <w:rPr>
          <w:rFonts w:hint="eastAsia" w:ascii="仿宋" w:hAnsi="仿宋" w:eastAsia="仿宋" w:cs="仿宋"/>
          <w:sz w:val="24"/>
          <w:szCs w:val="24"/>
        </w:rPr>
      </w:pPr>
    </w:p>
    <w:p>
      <w:pPr>
        <w:tabs>
          <w:tab w:val="left" w:pos="6300"/>
        </w:tabs>
        <w:snapToGrid w:val="0"/>
        <w:spacing w:line="50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snapToGrid w:val="0"/>
        <w:spacing w:before="156" w:beforeLines="5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tabs>
          <w:tab w:val="left" w:pos="6300"/>
        </w:tabs>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6300"/>
        </w:tabs>
        <w:snapToGrid w:val="0"/>
        <w:spacing w:line="500" w:lineRule="exact"/>
        <w:ind w:firstLine="5760" w:firstLineChars="2400"/>
        <w:rPr>
          <w:rFonts w:hint="eastAsia" w:ascii="仿宋" w:hAnsi="仿宋" w:eastAsia="仿宋" w:cs="仿宋"/>
          <w:sz w:val="24"/>
          <w:szCs w:val="24"/>
        </w:rPr>
      </w:pPr>
    </w:p>
    <w:p>
      <w:pPr>
        <w:tabs>
          <w:tab w:val="left" w:pos="6300"/>
        </w:tabs>
        <w:snapToGrid w:val="0"/>
        <w:spacing w:line="500" w:lineRule="exact"/>
        <w:jc w:val="left"/>
        <w:rPr>
          <w:rFonts w:hint="eastAsia" w:ascii="仿宋" w:hAnsi="仿宋" w:eastAsia="仿宋" w:cs="仿宋"/>
          <w:sz w:val="24"/>
          <w:szCs w:val="24"/>
        </w:rPr>
      </w:pPr>
      <w:r>
        <w:rPr>
          <w:rFonts w:hint="eastAsia" w:ascii="仿宋" w:hAnsi="仿宋" w:eastAsia="仿宋" w:cs="仿宋"/>
          <w:sz w:val="24"/>
          <w:szCs w:val="24"/>
        </w:rPr>
        <w:t>6、售后服务承诺（格式自拟）</w:t>
      </w:r>
    </w:p>
    <w:p>
      <w:pPr>
        <w:widowControl/>
        <w:jc w:val="center"/>
        <w:rPr>
          <w:rFonts w:hint="eastAsia" w:ascii="仿宋" w:hAnsi="仿宋" w:eastAsia="仿宋" w:cs="仿宋"/>
          <w:sz w:val="24"/>
          <w:szCs w:val="24"/>
        </w:rPr>
      </w:pPr>
      <w:bookmarkStart w:id="5" w:name="_Toc161727398"/>
      <w:r>
        <w:rPr>
          <w:rFonts w:hint="eastAsia" w:ascii="仿宋" w:hAnsi="仿宋" w:eastAsia="仿宋" w:cs="仿宋"/>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hint="eastAsia" w:ascii="仿宋" w:hAnsi="仿宋" w:eastAsia="仿宋" w:cs="仿宋"/>
          <w:sz w:val="24"/>
          <w:szCs w:val="24"/>
        </w:rPr>
      </w:pPr>
      <w:bookmarkStart w:id="8" w:name="_Toc340223174"/>
      <w:bookmarkStart w:id="9" w:name="_Toc322965786"/>
      <w:r>
        <w:rPr>
          <w:rFonts w:hint="eastAsia" w:ascii="仿宋" w:hAnsi="仿宋" w:eastAsia="仿宋" w:cs="仿宋"/>
          <w:sz w:val="24"/>
          <w:szCs w:val="24"/>
        </w:rPr>
        <w:t>十一、其他说明</w:t>
      </w:r>
      <w:bookmarkEnd w:id="8"/>
      <w:bookmarkEnd w:id="9"/>
      <w:r>
        <w:rPr>
          <w:rFonts w:hint="eastAsia" w:ascii="仿宋" w:hAnsi="仿宋" w:eastAsia="仿宋" w:cs="仿宋"/>
          <w:sz w:val="24"/>
          <w:szCs w:val="24"/>
        </w:rPr>
        <w:t>（格式自拟）</w:t>
      </w:r>
    </w:p>
    <w:p>
      <w:pPr>
        <w:pStyle w:val="3"/>
        <w:rPr>
          <w:rFonts w:hint="eastAsia" w:ascii="仿宋" w:hAnsi="仿宋" w:eastAsia="仿宋" w:cs="仿宋"/>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3432539"/>
    <w:rsid w:val="04301CD8"/>
    <w:rsid w:val="13535AA4"/>
    <w:rsid w:val="139D017C"/>
    <w:rsid w:val="1AD24820"/>
    <w:rsid w:val="1FE74B4D"/>
    <w:rsid w:val="2C5076C0"/>
    <w:rsid w:val="35677A29"/>
    <w:rsid w:val="375644F8"/>
    <w:rsid w:val="3CAD0E99"/>
    <w:rsid w:val="3E32677A"/>
    <w:rsid w:val="445F352F"/>
    <w:rsid w:val="60946700"/>
    <w:rsid w:val="6681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qFormat/>
    <w:uiPriority w:val="99"/>
    <w:rPr>
      <w:color w:val="0000FF"/>
      <w:u w:val="single"/>
    </w:rPr>
  </w:style>
  <w:style w:type="character" w:customStyle="1" w:styleId="10">
    <w:name w:val="标题 2 Char"/>
    <w:basedOn w:val="7"/>
    <w:link w:val="3"/>
    <w:qFormat/>
    <w:uiPriority w:val="9"/>
    <w:rPr>
      <w:rFonts w:asciiTheme="majorHAnsi" w:hAnsiTheme="majorHAnsi" w:eastAsiaTheme="majorEastAsia" w:cstheme="majorBidi"/>
      <w:b/>
      <w:bCs/>
      <w:sz w:val="32"/>
      <w:szCs w:val="32"/>
    </w:rPr>
  </w:style>
  <w:style w:type="character" w:customStyle="1" w:styleId="11">
    <w:name w:val="标题 1 Char"/>
    <w:basedOn w:val="7"/>
    <w:link w:val="2"/>
    <w:qFormat/>
    <w:uiPriority w:val="9"/>
    <w:rPr>
      <w:b/>
      <w:bCs/>
      <w:kern w:val="44"/>
      <w:sz w:val="44"/>
      <w:szCs w:val="44"/>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121"/>
    <w:basedOn w:val="7"/>
    <w:qFormat/>
    <w:uiPriority w:val="0"/>
    <w:rPr>
      <w:rFonts w:hint="eastAsia" w:ascii="微软雅黑" w:hAnsi="微软雅黑" w:eastAsia="微软雅黑" w:cs="微软雅黑"/>
      <w:b/>
      <w:color w:val="000000"/>
      <w:sz w:val="18"/>
      <w:szCs w:val="18"/>
      <w:u w:val="none"/>
    </w:rPr>
  </w:style>
  <w:style w:type="character" w:customStyle="1" w:styleId="15">
    <w:name w:val="font71"/>
    <w:basedOn w:val="7"/>
    <w:qFormat/>
    <w:uiPriority w:val="0"/>
    <w:rPr>
      <w:rFonts w:hint="eastAsia" w:ascii="微软雅黑" w:hAnsi="微软雅黑" w:eastAsia="微软雅黑" w:cs="微软雅黑"/>
      <w:color w:val="000000"/>
      <w:sz w:val="18"/>
      <w:szCs w:val="18"/>
      <w:u w:val="none"/>
    </w:rPr>
  </w:style>
  <w:style w:type="character" w:customStyle="1" w:styleId="16">
    <w:name w:val="font91"/>
    <w:basedOn w:val="7"/>
    <w:qFormat/>
    <w:uiPriority w:val="0"/>
    <w:rPr>
      <w:rFonts w:hint="eastAsia" w:ascii="微软雅黑" w:hAnsi="微软雅黑" w:eastAsia="微软雅黑" w:cs="微软雅黑"/>
      <w:b/>
      <w:color w:val="000000"/>
      <w:sz w:val="18"/>
      <w:szCs w:val="18"/>
      <w:u w:val="none"/>
    </w:rPr>
  </w:style>
  <w:style w:type="character" w:customStyle="1" w:styleId="17">
    <w:name w:val="font61"/>
    <w:basedOn w:val="7"/>
    <w:qFormat/>
    <w:uiPriority w:val="0"/>
    <w:rPr>
      <w:rFonts w:hint="eastAsia" w:ascii="微软雅黑" w:hAnsi="微软雅黑" w:eastAsia="微软雅黑" w:cs="微软雅黑"/>
      <w:color w:val="000000"/>
      <w:sz w:val="18"/>
      <w:szCs w:val="18"/>
      <w:u w:val="none"/>
    </w:rPr>
  </w:style>
  <w:style w:type="character" w:customStyle="1" w:styleId="18">
    <w:name w:val="font31"/>
    <w:basedOn w:val="7"/>
    <w:qFormat/>
    <w:uiPriority w:val="0"/>
    <w:rPr>
      <w:rFonts w:hint="eastAsia" w:ascii="微软雅黑" w:hAnsi="微软雅黑" w:eastAsia="微软雅黑" w:cs="微软雅黑"/>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856</Words>
  <Characters>4882</Characters>
  <Lines>40</Lines>
  <Paragraphs>11</Paragraphs>
  <TotalTime>0</TotalTime>
  <ScaleCrop>false</ScaleCrop>
  <LinksUpToDate>false</LinksUpToDate>
  <CharactersWithSpaces>5727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阿明</cp:lastModifiedBy>
  <dcterms:modified xsi:type="dcterms:W3CDTF">2018-10-22T08:09:43Z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