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leftChars="0"/>
        <w:jc w:val="center"/>
        <w:textAlignment w:val="auto"/>
        <w:outlineLvl w:val="0"/>
        <w:rPr>
          <w:rFonts w:hint="eastAsia" w:ascii="仿宋" w:hAnsi="仿宋" w:eastAsia="仿宋" w:cs="仿宋"/>
          <w:b/>
        </w:rPr>
      </w:pPr>
      <w:bookmarkStart w:id="0" w:name="_Toc512351918"/>
      <w:r>
        <w:rPr>
          <w:rFonts w:hint="eastAsia" w:ascii="仿宋" w:hAnsi="仿宋" w:eastAsia="仿宋" w:cs="仿宋"/>
          <w:b/>
        </w:rPr>
        <w:t>招标公告</w:t>
      </w:r>
      <w:bookmarkEnd w:id="0"/>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重庆大正建设工程经济技术有限公司受</w:t>
      </w:r>
      <w:r>
        <w:rPr>
          <w:rFonts w:hint="eastAsia" w:ascii="仿宋" w:hAnsi="仿宋" w:eastAsia="仿宋" w:cs="仿宋"/>
          <w:sz w:val="24"/>
          <w:szCs w:val="24"/>
          <w:lang w:eastAsia="zh-CN"/>
        </w:rPr>
        <w:t>重庆八中宏帆初级中学校</w:t>
      </w:r>
      <w:r>
        <w:rPr>
          <w:rFonts w:hint="eastAsia" w:ascii="仿宋" w:hAnsi="仿宋" w:eastAsia="仿宋" w:cs="仿宋"/>
          <w:sz w:val="24"/>
          <w:szCs w:val="24"/>
        </w:rPr>
        <w:t>的委托，对重庆八中宏帆初级中学校</w:t>
      </w:r>
      <w:r>
        <w:rPr>
          <w:rFonts w:hint="eastAsia" w:ascii="仿宋" w:hAnsi="仿宋" w:eastAsia="仿宋" w:cs="仿宋"/>
          <w:sz w:val="24"/>
          <w:szCs w:val="24"/>
          <w:lang w:eastAsia="zh-CN"/>
        </w:rPr>
        <w:t>智能交互式平板一体机升级改造</w:t>
      </w:r>
      <w:r>
        <w:rPr>
          <w:rFonts w:hint="eastAsia" w:ascii="仿宋" w:hAnsi="仿宋" w:eastAsia="仿宋" w:cs="仿宋"/>
          <w:sz w:val="24"/>
          <w:szCs w:val="24"/>
        </w:rPr>
        <w:t>建设</w:t>
      </w:r>
      <w:r>
        <w:rPr>
          <w:rFonts w:hint="eastAsia" w:ascii="仿宋" w:hAnsi="仿宋" w:eastAsia="仿宋" w:cs="仿宋"/>
          <w:sz w:val="24"/>
          <w:szCs w:val="24"/>
          <w:lang w:eastAsia="zh-CN"/>
        </w:rPr>
        <w:t>项目</w:t>
      </w:r>
      <w:r>
        <w:rPr>
          <w:rFonts w:hint="eastAsia" w:ascii="仿宋" w:hAnsi="仿宋" w:eastAsia="仿宋" w:cs="仿宋"/>
          <w:sz w:val="24"/>
          <w:szCs w:val="24"/>
        </w:rPr>
        <w:t>进行公开招</w:t>
      </w:r>
      <w:r>
        <w:rPr>
          <w:rFonts w:hint="eastAsia" w:ascii="仿宋" w:hAnsi="仿宋" w:eastAsia="仿宋" w:cs="仿宋"/>
          <w:sz w:val="24"/>
          <w:szCs w:val="24"/>
        </w:rPr>
        <w:t>标，欢迎有资格的供应商参加投标。</w:t>
      </w:r>
    </w:p>
    <w:p>
      <w:pPr>
        <w:pStyle w:val="3"/>
        <w:spacing w:line="420" w:lineRule="exact"/>
        <w:ind w:firstLine="482" w:firstLineChars="200"/>
        <w:rPr>
          <w:rFonts w:hint="eastAsia" w:ascii="仿宋" w:hAnsi="仿宋" w:eastAsia="仿宋" w:cs="仿宋"/>
          <w:b/>
          <w:sz w:val="24"/>
        </w:rPr>
      </w:pPr>
      <w:bookmarkStart w:id="1" w:name="_Toc512351919"/>
      <w:r>
        <w:rPr>
          <w:rFonts w:hint="eastAsia" w:ascii="仿宋" w:hAnsi="仿宋" w:eastAsia="仿宋" w:cs="仿宋"/>
          <w:b/>
          <w:sz w:val="24"/>
        </w:rPr>
        <w:t>一、招标项目内容</w:t>
      </w:r>
      <w:bookmarkEnd w:id="1"/>
    </w:p>
    <w:tbl>
      <w:tblPr>
        <w:tblStyle w:val="8"/>
        <w:tblW w:w="9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820"/>
        <w:gridCol w:w="1495"/>
        <w:gridCol w:w="1368"/>
        <w:gridCol w:w="1518"/>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898" w:type="dxa"/>
            <w:vAlign w:val="center"/>
          </w:tcPr>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序号</w:t>
            </w:r>
          </w:p>
        </w:tc>
        <w:tc>
          <w:tcPr>
            <w:tcW w:w="2820" w:type="dxa"/>
            <w:vAlign w:val="center"/>
          </w:tcPr>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项目名称</w:t>
            </w:r>
          </w:p>
        </w:tc>
        <w:tc>
          <w:tcPr>
            <w:tcW w:w="1495" w:type="dxa"/>
            <w:vAlign w:val="center"/>
          </w:tcPr>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采购预算（元）</w:t>
            </w:r>
          </w:p>
        </w:tc>
        <w:tc>
          <w:tcPr>
            <w:tcW w:w="1368" w:type="dxa"/>
            <w:vAlign w:val="top"/>
          </w:tcPr>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中标人</w:t>
            </w:r>
          </w:p>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数量</w:t>
            </w:r>
          </w:p>
        </w:tc>
        <w:tc>
          <w:tcPr>
            <w:tcW w:w="1518" w:type="dxa"/>
            <w:vAlign w:val="center"/>
          </w:tcPr>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投标保证金</w:t>
            </w:r>
          </w:p>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（元）</w:t>
            </w:r>
          </w:p>
        </w:tc>
        <w:tc>
          <w:tcPr>
            <w:tcW w:w="1661" w:type="dxa"/>
            <w:vAlign w:val="center"/>
          </w:tcPr>
          <w:p>
            <w:pPr>
              <w:pStyle w:val="6"/>
              <w:spacing w:line="400" w:lineRule="exact"/>
              <w:ind w:left="0"/>
              <w:jc w:val="center"/>
              <w:outlineLvl w:val="0"/>
              <w:rPr>
                <w:rFonts w:hint="eastAsia" w:ascii="仿宋" w:hAnsi="仿宋" w:eastAsia="仿宋" w:cs="仿宋"/>
                <w:b/>
                <w:sz w:val="21"/>
                <w:szCs w:val="21"/>
              </w:rPr>
            </w:pPr>
            <w:r>
              <w:rPr>
                <w:rFonts w:hint="eastAsia" w:ascii="仿宋" w:hAnsi="仿宋" w:eastAsia="仿宋" w:cs="仿宋"/>
                <w:b/>
                <w:sz w:val="21"/>
                <w:szCs w:val="21"/>
              </w:rPr>
              <w:t>备注</w:t>
            </w:r>
          </w:p>
          <w:p>
            <w:pPr>
              <w:pStyle w:val="6"/>
              <w:spacing w:line="400" w:lineRule="exact"/>
              <w:ind w:left="0"/>
              <w:jc w:val="center"/>
              <w:outlineLvl w:val="0"/>
              <w:rPr>
                <w:rFonts w:hint="eastAsia" w:ascii="仿宋" w:hAnsi="仿宋" w:eastAsia="仿宋" w:cs="仿宋"/>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898" w:type="dxa"/>
            <w:vAlign w:val="center"/>
          </w:tcPr>
          <w:p>
            <w:pPr>
              <w:pStyle w:val="4"/>
              <w:adjustRightInd/>
              <w:snapToGrid/>
              <w:spacing w:line="400" w:lineRule="exact"/>
              <w:ind w:firstLine="0"/>
              <w:jc w:val="center"/>
              <w:outlineLvl w:val="0"/>
              <w:rPr>
                <w:rFonts w:hint="eastAsia" w:ascii="仿宋" w:hAnsi="仿宋" w:eastAsia="仿宋" w:cs="仿宋"/>
                <w:sz w:val="21"/>
                <w:szCs w:val="21"/>
              </w:rPr>
            </w:pPr>
            <w:r>
              <w:rPr>
                <w:rFonts w:hint="eastAsia" w:ascii="仿宋" w:hAnsi="仿宋" w:eastAsia="仿宋" w:cs="仿宋"/>
                <w:sz w:val="21"/>
                <w:szCs w:val="21"/>
              </w:rPr>
              <w:t>1</w:t>
            </w:r>
          </w:p>
        </w:tc>
        <w:tc>
          <w:tcPr>
            <w:tcW w:w="2820"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仿宋" w:hAnsi="仿宋" w:eastAsia="仿宋" w:cs="仿宋"/>
                <w:kern w:val="0"/>
                <w:sz w:val="24"/>
                <w:szCs w:val="24"/>
              </w:rPr>
            </w:pPr>
            <w:bookmarkStart w:id="11" w:name="_GoBack"/>
            <w:r>
              <w:rPr>
                <w:rFonts w:hint="eastAsia" w:ascii="仿宋" w:hAnsi="仿宋" w:eastAsia="仿宋" w:cs="仿宋"/>
                <w:b/>
                <w:sz w:val="21"/>
                <w:szCs w:val="21"/>
                <w:lang w:eastAsia="zh-CN"/>
              </w:rPr>
              <w:t>重庆八中宏帆初级中学校智能交互式平板一体机升级改造建设项目</w:t>
            </w:r>
            <w:bookmarkEnd w:id="11"/>
          </w:p>
        </w:tc>
        <w:tc>
          <w:tcPr>
            <w:tcW w:w="1495" w:type="dxa"/>
            <w:vAlign w:val="center"/>
          </w:tcPr>
          <w:p>
            <w:pPr>
              <w:pStyle w:val="6"/>
              <w:spacing w:line="400" w:lineRule="exact"/>
              <w:ind w:left="0"/>
              <w:jc w:val="center"/>
              <w:outlineLvl w:val="0"/>
              <w:rPr>
                <w:rFonts w:hint="eastAsia" w:ascii="仿宋" w:hAnsi="仿宋" w:eastAsia="仿宋" w:cs="仿宋"/>
                <w:sz w:val="21"/>
                <w:szCs w:val="21"/>
              </w:rPr>
            </w:pPr>
            <w:r>
              <w:rPr>
                <w:rFonts w:hint="eastAsia" w:ascii="仿宋" w:hAnsi="仿宋" w:eastAsia="仿宋" w:cs="仿宋"/>
                <w:sz w:val="21"/>
                <w:szCs w:val="21"/>
                <w:lang w:val="en-US" w:eastAsia="zh-CN"/>
              </w:rPr>
              <w:t>245000</w:t>
            </w:r>
            <w:r>
              <w:rPr>
                <w:rFonts w:hint="eastAsia" w:ascii="仿宋" w:hAnsi="仿宋" w:eastAsia="仿宋" w:cs="仿宋"/>
                <w:sz w:val="21"/>
                <w:szCs w:val="21"/>
              </w:rPr>
              <w:t>0.00</w:t>
            </w:r>
          </w:p>
        </w:tc>
        <w:tc>
          <w:tcPr>
            <w:tcW w:w="1368" w:type="dxa"/>
            <w:vAlign w:val="top"/>
          </w:tcPr>
          <w:p>
            <w:pPr>
              <w:pStyle w:val="6"/>
              <w:spacing w:line="400" w:lineRule="exact"/>
              <w:ind w:left="0"/>
              <w:outlineLvl w:val="0"/>
              <w:rPr>
                <w:rFonts w:hint="eastAsia" w:ascii="仿宋" w:hAnsi="仿宋" w:eastAsia="仿宋" w:cs="仿宋"/>
                <w:sz w:val="21"/>
                <w:szCs w:val="21"/>
              </w:rPr>
            </w:pPr>
          </w:p>
          <w:p>
            <w:pPr>
              <w:pStyle w:val="6"/>
              <w:spacing w:line="400" w:lineRule="exact"/>
              <w:ind w:left="0"/>
              <w:outlineLvl w:val="0"/>
              <w:rPr>
                <w:rFonts w:hint="eastAsia" w:ascii="仿宋" w:hAnsi="仿宋" w:eastAsia="仿宋" w:cs="仿宋"/>
                <w:sz w:val="21"/>
                <w:szCs w:val="21"/>
              </w:rPr>
            </w:pPr>
            <w:r>
              <w:rPr>
                <w:rFonts w:hint="eastAsia" w:ascii="仿宋" w:hAnsi="仿宋" w:eastAsia="仿宋" w:cs="仿宋"/>
                <w:sz w:val="21"/>
                <w:szCs w:val="21"/>
              </w:rPr>
              <w:t xml:space="preserve">     1</w:t>
            </w:r>
          </w:p>
        </w:tc>
        <w:tc>
          <w:tcPr>
            <w:tcW w:w="1518" w:type="dxa"/>
            <w:vAlign w:val="center"/>
          </w:tcPr>
          <w:p>
            <w:pPr>
              <w:pStyle w:val="6"/>
              <w:spacing w:line="400" w:lineRule="exact"/>
              <w:ind w:left="0"/>
              <w:jc w:val="center"/>
              <w:outlineLvl w:val="0"/>
              <w:rPr>
                <w:rFonts w:hint="eastAsia" w:ascii="仿宋" w:hAnsi="仿宋" w:eastAsia="仿宋" w:cs="仿宋"/>
                <w:sz w:val="21"/>
                <w:szCs w:val="21"/>
              </w:rPr>
            </w:pPr>
            <w:r>
              <w:rPr>
                <w:rFonts w:hint="eastAsia" w:ascii="仿宋" w:hAnsi="仿宋" w:eastAsia="仿宋" w:cs="仿宋"/>
                <w:sz w:val="21"/>
                <w:szCs w:val="21"/>
                <w:lang w:val="en-US" w:eastAsia="zh-CN"/>
              </w:rPr>
              <w:t>46</w:t>
            </w:r>
            <w:r>
              <w:rPr>
                <w:rFonts w:hint="eastAsia" w:ascii="仿宋" w:hAnsi="仿宋" w:eastAsia="仿宋" w:cs="仿宋"/>
                <w:sz w:val="21"/>
                <w:szCs w:val="21"/>
              </w:rPr>
              <w:t>000.00</w:t>
            </w:r>
          </w:p>
        </w:tc>
        <w:tc>
          <w:tcPr>
            <w:tcW w:w="1661" w:type="dxa"/>
            <w:vAlign w:val="top"/>
          </w:tcPr>
          <w:p>
            <w:pPr>
              <w:pStyle w:val="4"/>
              <w:adjustRightInd/>
              <w:snapToGrid/>
              <w:spacing w:line="400" w:lineRule="exact"/>
              <w:ind w:firstLine="0"/>
              <w:outlineLvl w:val="0"/>
              <w:rPr>
                <w:rFonts w:hint="eastAsia" w:ascii="仿宋" w:hAnsi="仿宋" w:eastAsia="仿宋" w:cs="仿宋"/>
                <w:sz w:val="21"/>
                <w:szCs w:val="21"/>
              </w:rPr>
            </w:pPr>
            <w:r>
              <w:rPr>
                <w:rFonts w:hint="eastAsia" w:ascii="仿宋" w:hAnsi="仿宋" w:eastAsia="仿宋" w:cs="仿宋"/>
                <w:sz w:val="21"/>
                <w:szCs w:val="21"/>
              </w:rPr>
              <w:t>本分包投标产品必须为中国大陆境内生产</w:t>
            </w:r>
          </w:p>
        </w:tc>
      </w:tr>
    </w:tbl>
    <w:p>
      <w:pPr>
        <w:pStyle w:val="3"/>
        <w:spacing w:line="400" w:lineRule="exact"/>
        <w:ind w:firstLine="482" w:firstLineChars="200"/>
        <w:rPr>
          <w:rFonts w:hint="eastAsia" w:ascii="仿宋" w:hAnsi="仿宋" w:eastAsia="仿宋" w:cs="仿宋"/>
          <w:b/>
          <w:sz w:val="24"/>
        </w:rPr>
      </w:pPr>
      <w:bookmarkStart w:id="2" w:name="_Toc512351920"/>
      <w:r>
        <w:rPr>
          <w:rFonts w:hint="eastAsia" w:ascii="仿宋" w:hAnsi="仿宋" w:eastAsia="仿宋" w:cs="仿宋"/>
          <w:b/>
          <w:sz w:val="24"/>
        </w:rPr>
        <w:t>二、资金来源</w:t>
      </w:r>
      <w:bookmarkEnd w:id="2"/>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学校</w:t>
      </w:r>
      <w:r>
        <w:rPr>
          <w:rFonts w:hint="eastAsia" w:ascii="仿宋" w:hAnsi="仿宋" w:eastAsia="仿宋" w:cs="仿宋"/>
          <w:sz w:val="24"/>
          <w:szCs w:val="24"/>
        </w:rPr>
        <w:t>自筹，已落实。</w:t>
      </w:r>
    </w:p>
    <w:p>
      <w:pPr>
        <w:pStyle w:val="3"/>
        <w:spacing w:line="400" w:lineRule="exact"/>
        <w:ind w:firstLine="482" w:firstLineChars="200"/>
        <w:rPr>
          <w:rFonts w:hint="eastAsia" w:ascii="仿宋" w:hAnsi="仿宋" w:eastAsia="仿宋" w:cs="仿宋"/>
          <w:b/>
          <w:sz w:val="24"/>
        </w:rPr>
      </w:pPr>
      <w:bookmarkStart w:id="3" w:name="_Toc512351921"/>
      <w:r>
        <w:rPr>
          <w:rFonts w:hint="eastAsia" w:ascii="仿宋" w:hAnsi="仿宋" w:eastAsia="仿宋" w:cs="仿宋"/>
          <w:b/>
          <w:sz w:val="24"/>
        </w:rPr>
        <w:t>三、投标人资格要求</w:t>
      </w:r>
      <w:bookmarkEnd w:id="3"/>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合格投标人应首先符合政府采购法第二十二条规定的基本条件，同时符合根据该项目特点设置的特定资格条件。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（一）基本资格条件</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1、具有独立承担民事责任的能力；</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2、具有良好的商业信誉和健全的财务会计制度；</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3、具有履行合同所必需的设备和专业技术能力；</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5、参加政府采购活动近三年内，在经营活动中没有重大违法记录；</w:t>
      </w:r>
    </w:p>
    <w:p>
      <w:pPr>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6、法律、行政法规规定的其他条件。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（二）</w:t>
      </w:r>
      <w:r>
        <w:rPr>
          <w:rFonts w:hint="eastAsia" w:ascii="仿宋" w:hAnsi="仿宋" w:eastAsia="仿宋" w:cs="仿宋"/>
          <w:sz w:val="24"/>
          <w:szCs w:val="24"/>
        </w:rPr>
        <w:t>特定资格条件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无</w:t>
      </w:r>
    </w:p>
    <w:p>
      <w:pPr>
        <w:pStyle w:val="3"/>
        <w:spacing w:line="400" w:lineRule="exact"/>
        <w:ind w:firstLine="482" w:firstLineChars="200"/>
        <w:rPr>
          <w:rFonts w:hint="eastAsia" w:ascii="仿宋" w:hAnsi="仿宋" w:eastAsia="仿宋" w:cs="仿宋"/>
          <w:b/>
          <w:sz w:val="24"/>
        </w:rPr>
      </w:pPr>
      <w:bookmarkStart w:id="4" w:name="_Toc512351922"/>
      <w:r>
        <w:rPr>
          <w:rFonts w:hint="eastAsia" w:ascii="仿宋" w:hAnsi="仿宋" w:eastAsia="仿宋" w:cs="仿宋"/>
          <w:b/>
          <w:sz w:val="24"/>
        </w:rPr>
        <w:t>四、投标、开标有关说明</w:t>
      </w:r>
      <w:bookmarkEnd w:id="4"/>
    </w:p>
    <w:p>
      <w:pPr>
        <w:adjustRightInd w:val="0"/>
        <w:snapToGrid w:val="0"/>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sz w:val="24"/>
          <w:szCs w:val="24"/>
        </w:rPr>
        <w:t>（一）招标文件的获取：凡有意参加投标者，</w:t>
      </w:r>
      <w:r>
        <w:rPr>
          <w:rFonts w:hint="eastAsia" w:ascii="仿宋" w:hAnsi="仿宋" w:eastAsia="仿宋" w:cs="仿宋"/>
          <w:color w:val="auto"/>
          <w:sz w:val="24"/>
          <w:szCs w:val="24"/>
        </w:rPr>
        <w:t>请于2018年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 xml:space="preserve">月 </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日至2018年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日，上午 8:30 时至 17:00 时（北京时间，</w:t>
      </w:r>
      <w:r>
        <w:rPr>
          <w:rFonts w:hint="eastAsia" w:ascii="仿宋" w:hAnsi="仿宋" w:eastAsia="仿宋" w:cs="仿宋"/>
          <w:color w:val="auto"/>
          <w:sz w:val="24"/>
          <w:szCs w:val="24"/>
          <w:lang w:eastAsia="zh-CN"/>
        </w:rPr>
        <w:t>节假日除外，</w:t>
      </w:r>
      <w:r>
        <w:rPr>
          <w:rFonts w:hint="eastAsia" w:ascii="仿宋" w:hAnsi="仿宋" w:eastAsia="仿宋" w:cs="仿宋"/>
          <w:color w:val="auto"/>
          <w:sz w:val="24"/>
          <w:szCs w:val="24"/>
        </w:rPr>
        <w:t>下同），持单位介绍信原件/法人授权委托书、营业执照复印件（加盖鲜章）、本人身份证原件及复印件，在重庆大正建设工程经济技术有限公司（重庆市渝中区长江一路62号27楼）购买招标文件。 招标文件每套售价人民币</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00 元，售后不退，由投标人在购买招标文件时向招标代理机构缴纳。</w:t>
      </w:r>
    </w:p>
    <w:p>
      <w:pPr>
        <w:spacing w:line="40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(二)投标地点：重庆大正建设工程经济技术有限公司（重庆市渝中区长江一路62号地产大厦2号楼27楼）</w:t>
      </w:r>
    </w:p>
    <w:p>
      <w:pPr>
        <w:spacing w:line="400" w:lineRule="exact"/>
        <w:ind w:firstLine="480" w:firstLineChars="200"/>
        <w:rPr>
          <w:rFonts w:hint="eastAsia" w:ascii="仿宋" w:hAnsi="仿宋" w:eastAsia="仿宋" w:cs="仿宋"/>
          <w:color w:val="0000FF"/>
          <w:sz w:val="24"/>
          <w:szCs w:val="24"/>
        </w:rPr>
      </w:pPr>
      <w:r>
        <w:rPr>
          <w:rFonts w:hint="eastAsia" w:ascii="仿宋" w:hAnsi="仿宋" w:eastAsia="仿宋" w:cs="仿宋"/>
          <w:color w:val="auto"/>
          <w:sz w:val="24"/>
          <w:szCs w:val="24"/>
        </w:rPr>
        <w:t>（三）投标文件递交开始、截止时间：2018年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日北京时间9:00—10:00</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sz w:val="24"/>
          <w:szCs w:val="24"/>
        </w:rPr>
        <w:t>（四）开标时间</w:t>
      </w:r>
      <w:r>
        <w:rPr>
          <w:rFonts w:hint="eastAsia" w:ascii="仿宋" w:hAnsi="仿宋" w:eastAsia="仿宋" w:cs="仿宋"/>
          <w:color w:val="auto"/>
          <w:sz w:val="24"/>
          <w:szCs w:val="24"/>
        </w:rPr>
        <w:t>：2018年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日北京时间10:00</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color w:val="auto"/>
          <w:sz w:val="24"/>
          <w:szCs w:val="24"/>
        </w:rPr>
        <w:t>（五）开标地点：重庆大正建设工程经济技</w:t>
      </w:r>
      <w:r>
        <w:rPr>
          <w:rFonts w:hint="eastAsia" w:ascii="仿宋" w:hAnsi="仿宋" w:eastAsia="仿宋" w:cs="仿宋"/>
          <w:sz w:val="24"/>
          <w:szCs w:val="24"/>
        </w:rPr>
        <w:t>术有限公司（重庆市渝中区长江一路62号地产大厦2号楼27楼）</w:t>
      </w:r>
    </w:p>
    <w:p>
      <w:pPr>
        <w:pStyle w:val="3"/>
        <w:spacing w:line="400" w:lineRule="exact"/>
        <w:ind w:firstLine="482" w:firstLineChars="200"/>
        <w:rPr>
          <w:rFonts w:hint="eastAsia" w:ascii="仿宋" w:hAnsi="仿宋" w:eastAsia="仿宋" w:cs="仿宋"/>
          <w:b/>
          <w:sz w:val="24"/>
          <w:szCs w:val="24"/>
        </w:rPr>
      </w:pPr>
      <w:bookmarkStart w:id="5" w:name="_Toc512351923"/>
      <w:r>
        <w:rPr>
          <w:rFonts w:hint="eastAsia" w:ascii="仿宋" w:hAnsi="仿宋" w:eastAsia="仿宋" w:cs="仿宋"/>
          <w:b/>
          <w:sz w:val="24"/>
          <w:szCs w:val="24"/>
        </w:rPr>
        <w:t>五、投标保证金与履约保证金</w:t>
      </w:r>
      <w:bookmarkEnd w:id="5"/>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（一）投标保证金缴纳</w:t>
      </w:r>
    </w:p>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sz w:val="24"/>
          <w:szCs w:val="24"/>
        </w:rPr>
        <w:t>1、参与投标的投标人，须按本项目规定的保证金数额进行缴纳，由投标人从其基本账户将保证金汇至重庆大正建设工程经济技术有限公司的账号上，保证金的到账截止时间为</w:t>
      </w:r>
      <w:r>
        <w:rPr>
          <w:rFonts w:hint="eastAsia" w:ascii="仿宋" w:hAnsi="仿宋" w:eastAsia="仿宋" w:cs="仿宋"/>
          <w:color w:val="auto"/>
          <w:sz w:val="24"/>
          <w:szCs w:val="24"/>
        </w:rPr>
        <w:t>2018年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日北京时间7:00。</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2、投标人应按照下列账户递交保证金：</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户  名：重庆大正建设工程经济技术有限公司</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开户行：重庆银行文化宫支行</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账  号：170101040003840</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（1）投标人在银行转账（电汇）时，须充分考虑银行转账（电汇）的时间差风险，如同城转账、异地转账或汇款、跨行转账或电汇的时间要求。</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（2）投标人在递交保证金时，到款账户为上述指定的保证金专用账户，来款账户必须为本公司基本账户。</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3、如有下列情况之一，作废标处理：</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（1）投标人没有在保证金到账截止时间前打入规定账户的；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（2）不是从企业基本帐户转入的；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（3）所缴纳的保证金金额与招标文件规定的金额不相符的。</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（二）投标保证金退还</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未中标企业：在采购结果公示发出后五个工作日内按资金来款渠道直接退还；</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中标企业：签订合同后五个工作日内按资金来款渠道直接退还。</w:t>
      </w:r>
    </w:p>
    <w:p>
      <w:pPr>
        <w:pStyle w:val="3"/>
        <w:spacing w:line="400" w:lineRule="exact"/>
        <w:ind w:firstLine="482" w:firstLineChars="200"/>
        <w:rPr>
          <w:rFonts w:hint="eastAsia" w:ascii="仿宋" w:hAnsi="仿宋" w:eastAsia="仿宋" w:cs="仿宋"/>
          <w:b/>
          <w:sz w:val="24"/>
        </w:rPr>
      </w:pPr>
      <w:bookmarkStart w:id="6" w:name="_Toc512351924"/>
      <w:r>
        <w:rPr>
          <w:rFonts w:hint="eastAsia" w:ascii="仿宋" w:hAnsi="仿宋" w:eastAsia="仿宋" w:cs="仿宋"/>
          <w:b/>
          <w:sz w:val="24"/>
        </w:rPr>
        <w:t>六、投标有关规定</w:t>
      </w:r>
      <w:bookmarkEnd w:id="6"/>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1、单位负责人为同一人或者存在直接控股、管理关系的不同供应商，不得参加同一合同项（分包）下的政府采购活动。</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2、为采购项目提供整体设计、规范编制或者项目管理、监理、检测等服务的供应商，不得再参加该采购项目的其他采购活动。</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3、同一合同项（分包）下为单一品目的货物采购招标中，同一品牌同一型号产品有多家供应商参加投标，只能按照一家供应商计算。</w:t>
      </w:r>
    </w:p>
    <w:p>
      <w:pPr>
        <w:snapToGrid w:val="0"/>
        <w:spacing w:line="40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4、同一合同项（分包）下的货物，制造商参与投标的，不得再委托代理商参与投标。</w:t>
      </w:r>
    </w:p>
    <w:p>
      <w:pPr>
        <w:snapToGrid w:val="0"/>
        <w:spacing w:line="40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5、本项目所有答疑和补遗文件（如果有）在重庆大正建设工程经济技术有限公司领取。</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6、超过投标截止时间递交投标文件、不按本招标文件规定密封投标文件、不按招标文件规定提交有效足额投标保证金的投标，恕不接受。</w:t>
      </w:r>
    </w:p>
    <w:p>
      <w:pPr>
        <w:snapToGrid w:val="0"/>
        <w:spacing w:line="400" w:lineRule="exact"/>
        <w:ind w:firstLine="480" w:firstLineChars="200"/>
        <w:rPr>
          <w:rFonts w:hint="eastAsia" w:ascii="仿宋" w:hAnsi="仿宋" w:eastAsia="仿宋" w:cs="仿宋"/>
          <w:sz w:val="24"/>
        </w:rPr>
      </w:pPr>
      <w:r>
        <w:rPr>
          <w:rFonts w:hint="eastAsia" w:ascii="仿宋" w:hAnsi="仿宋" w:eastAsia="仿宋" w:cs="仿宋"/>
          <w:sz w:val="24"/>
          <w:szCs w:val="24"/>
        </w:rPr>
        <w:t>7、投标费用：</w:t>
      </w:r>
      <w:r>
        <w:rPr>
          <w:rFonts w:hint="eastAsia" w:ascii="仿宋" w:hAnsi="仿宋" w:eastAsia="仿宋" w:cs="仿宋"/>
          <w:sz w:val="24"/>
        </w:rPr>
        <w:t>无论投标结果如何，投标人参与本项目投标的所有费用均应由投标人自行承担。</w:t>
      </w:r>
    </w:p>
    <w:p>
      <w:pPr>
        <w:pStyle w:val="3"/>
        <w:spacing w:line="400" w:lineRule="exact"/>
        <w:ind w:firstLine="482" w:firstLineChars="200"/>
        <w:rPr>
          <w:rFonts w:hint="eastAsia" w:ascii="仿宋" w:hAnsi="仿宋" w:eastAsia="仿宋" w:cs="仿宋"/>
          <w:b/>
          <w:sz w:val="24"/>
        </w:rPr>
      </w:pPr>
      <w:bookmarkStart w:id="7" w:name="_Toc512351925"/>
      <w:r>
        <w:rPr>
          <w:rFonts w:hint="eastAsia" w:ascii="仿宋" w:hAnsi="仿宋" w:eastAsia="仿宋" w:cs="仿宋"/>
          <w:b/>
          <w:sz w:val="24"/>
        </w:rPr>
        <w:t>七、现场踏勘</w:t>
      </w:r>
      <w:bookmarkEnd w:id="7"/>
    </w:p>
    <w:p>
      <w:pPr>
        <w:pStyle w:val="5"/>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独立踏勘现场，不组织集中踏勘现场。</w:t>
      </w:r>
    </w:p>
    <w:p>
      <w:pPr>
        <w:pStyle w:val="5"/>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投标人应踏勘工程现场及周围环境，以便获取投标人须自已负责的有关编制投标文件和签署合同所需的所有资料。无论投标人是否踏勘过现场，均视为在递交投标文件之前已经踏勘现场，对本合同项目的风险和义务已经十分了解，并在其投标文件中已充分考虑了现场和环境条件。踏勘现场所发生的费用由投标人自行承担；</w:t>
      </w:r>
    </w:p>
    <w:p>
      <w:pPr>
        <w:pStyle w:val="5"/>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人及其人员经过采购人允许，可因踏勘目的进入采购人的工程现场，但投标人及其人员不得因此使采购人、采购机构及其人员承担有关的责任和蒙受损失。投标人并应对由此次踏勘现场而造成的死亡、人身伤害、财产损失和产生的费用等承担全部责任；</w:t>
      </w:r>
    </w:p>
    <w:p>
      <w:pPr>
        <w:pStyle w:val="5"/>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（三）如果投标人认为需要再次进行现场踏勘，采购人将尽可能予以支持，但所发生的费用由投标人自理。</w:t>
      </w:r>
    </w:p>
    <w:p>
      <w:pPr>
        <w:pStyle w:val="3"/>
        <w:spacing w:line="400" w:lineRule="exact"/>
        <w:ind w:firstLine="482" w:firstLineChars="200"/>
        <w:rPr>
          <w:rFonts w:hint="eastAsia" w:ascii="仿宋" w:hAnsi="仿宋" w:eastAsia="仿宋" w:cs="仿宋"/>
          <w:b/>
          <w:sz w:val="24"/>
          <w:szCs w:val="22"/>
        </w:rPr>
      </w:pPr>
      <w:bookmarkStart w:id="8" w:name="_Toc488915429"/>
      <w:bookmarkStart w:id="9" w:name="_Toc512351926"/>
      <w:bookmarkStart w:id="10" w:name="_Toc488926706"/>
      <w:r>
        <w:rPr>
          <w:rFonts w:hint="eastAsia" w:ascii="仿宋" w:hAnsi="仿宋" w:eastAsia="仿宋" w:cs="仿宋"/>
          <w:b/>
          <w:sz w:val="24"/>
          <w:szCs w:val="22"/>
        </w:rPr>
        <w:t>八.发布公告的媒体</w:t>
      </w:r>
      <w:bookmarkEnd w:id="8"/>
      <w:bookmarkEnd w:id="9"/>
      <w:bookmarkEnd w:id="10"/>
    </w:p>
    <w:p>
      <w:pPr>
        <w:pStyle w:val="5"/>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本次招标公告在《中国采购与招标网》和《</w:t>
      </w:r>
      <w:r>
        <w:rPr>
          <w:rFonts w:hint="eastAsia" w:ascii="仿宋" w:hAnsi="仿宋" w:eastAsia="仿宋" w:cs="仿宋"/>
          <w:sz w:val="24"/>
          <w:szCs w:val="24"/>
          <w:lang w:eastAsia="zh-CN"/>
        </w:rPr>
        <w:t>重庆八中宏帆初级中学校校园</w:t>
      </w:r>
      <w:r>
        <w:rPr>
          <w:rFonts w:hint="eastAsia" w:ascii="仿宋" w:hAnsi="仿宋" w:eastAsia="仿宋" w:cs="仿宋"/>
          <w:sz w:val="24"/>
          <w:szCs w:val="24"/>
        </w:rPr>
        <w:t>网》《重庆大正建设工程经济技术有限公司》上发布。</w:t>
      </w:r>
    </w:p>
    <w:p>
      <w:pPr>
        <w:pStyle w:val="5"/>
        <w:numPr>
          <w:ilvl w:val="0"/>
          <w:numId w:val="1"/>
        </w:numPr>
        <w:spacing w:line="400" w:lineRule="exact"/>
        <w:ind w:firstLine="482" w:firstLineChars="200"/>
        <w:rPr>
          <w:rFonts w:hint="eastAsia" w:ascii="仿宋" w:hAnsi="仿宋" w:eastAsia="仿宋" w:cs="仿宋"/>
          <w:b/>
          <w:sz w:val="24"/>
        </w:rPr>
      </w:pPr>
      <w:r>
        <w:rPr>
          <w:rFonts w:hint="eastAsia" w:ascii="仿宋" w:hAnsi="仿宋" w:eastAsia="仿宋" w:cs="仿宋"/>
          <w:b/>
          <w:sz w:val="24"/>
        </w:rPr>
        <w:t>联系方式</w:t>
      </w:r>
    </w:p>
    <w:p>
      <w:pPr>
        <w:pStyle w:val="5"/>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（一）采购代理机构：重庆大正建设工程经济技术有限公司</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1、联系人：周老师、管老师</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电  话：（023）63867097、63867091</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邮  编：400056</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  址：重庆市渝中区长江一路62号地产大厦2号楼27楼</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（二）采购人：</w:t>
      </w:r>
      <w:r>
        <w:rPr>
          <w:rFonts w:hint="eastAsia" w:ascii="仿宋" w:hAnsi="仿宋" w:eastAsia="仿宋" w:cs="仿宋"/>
          <w:sz w:val="24"/>
          <w:szCs w:val="24"/>
          <w:lang w:eastAsia="zh-CN"/>
        </w:rPr>
        <w:t>重庆八中宏帆初级中学校</w:t>
      </w:r>
      <w:r>
        <w:rPr>
          <w:rFonts w:hint="eastAsia" w:ascii="仿宋" w:hAnsi="仿宋" w:eastAsia="仿宋" w:cs="仿宋"/>
          <w:sz w:val="24"/>
          <w:szCs w:val="24"/>
        </w:rPr>
        <w:t xml:space="preserve"> </w:t>
      </w:r>
    </w:p>
    <w:p>
      <w:pPr>
        <w:snapToGrid w:val="0"/>
        <w:spacing w:line="4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联系人：</w:t>
      </w:r>
      <w:r>
        <w:rPr>
          <w:rFonts w:hint="eastAsia" w:ascii="仿宋" w:hAnsi="仿宋" w:eastAsia="仿宋" w:cs="仿宋"/>
          <w:sz w:val="24"/>
          <w:szCs w:val="24"/>
          <w:lang w:eastAsia="zh-CN"/>
        </w:rPr>
        <w:t>王老师</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电  话：</w:t>
      </w:r>
      <w:r>
        <w:rPr>
          <w:rFonts w:hint="eastAsia" w:ascii="仿宋" w:hAnsi="仿宋" w:eastAsia="仿宋" w:cs="仿宋"/>
          <w:sz w:val="24"/>
          <w:szCs w:val="24"/>
          <w:lang w:eastAsia="zh-CN"/>
        </w:rPr>
        <w:t>（</w:t>
      </w:r>
      <w:r>
        <w:rPr>
          <w:rFonts w:hint="eastAsia" w:ascii="仿宋" w:hAnsi="仿宋" w:eastAsia="仿宋" w:cs="仿宋"/>
          <w:sz w:val="24"/>
          <w:szCs w:val="24"/>
        </w:rPr>
        <w:t>023</w:t>
      </w:r>
      <w:r>
        <w:rPr>
          <w:rFonts w:hint="eastAsia" w:ascii="仿宋" w:hAnsi="仿宋" w:eastAsia="仿宋" w:cs="仿宋"/>
          <w:sz w:val="24"/>
          <w:szCs w:val="24"/>
          <w:lang w:eastAsia="zh-CN"/>
        </w:rPr>
        <w:t>）</w:t>
      </w:r>
      <w:r>
        <w:rPr>
          <w:rFonts w:hint="eastAsia" w:ascii="仿宋" w:hAnsi="仿宋" w:eastAsia="仿宋" w:cs="仿宋"/>
          <w:sz w:val="24"/>
          <w:szCs w:val="24"/>
        </w:rPr>
        <w:t>67508207</w:t>
      </w:r>
    </w:p>
    <w:p>
      <w:pPr>
        <w:snapToGrid w:val="0"/>
        <w:spacing w:line="40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手  机：1</w:t>
      </w:r>
      <w:r>
        <w:rPr>
          <w:rFonts w:hint="eastAsia" w:ascii="仿宋" w:hAnsi="仿宋" w:eastAsia="仿宋" w:cs="仿宋"/>
          <w:sz w:val="24"/>
          <w:szCs w:val="24"/>
          <w:lang w:val="en-US" w:eastAsia="zh-CN"/>
        </w:rPr>
        <w:t>7323967615</w:t>
      </w:r>
    </w:p>
    <w:p>
      <w:pPr>
        <w:snapToGrid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  址：重庆市江北区</w:t>
      </w:r>
      <w:r>
        <w:rPr>
          <w:rFonts w:hint="eastAsia" w:ascii="仿宋" w:hAnsi="仿宋" w:eastAsia="仿宋" w:cs="仿宋"/>
          <w:sz w:val="24"/>
          <w:szCs w:val="24"/>
          <w:lang w:eastAsia="zh-CN"/>
        </w:rPr>
        <w:t>宏盛路</w:t>
      </w:r>
      <w:r>
        <w:rPr>
          <w:rFonts w:hint="eastAsia" w:ascii="仿宋" w:hAnsi="仿宋" w:eastAsia="仿宋" w:cs="仿宋"/>
          <w:sz w:val="24"/>
          <w:szCs w:val="24"/>
          <w:lang w:val="en-US" w:eastAsia="zh-CN"/>
        </w:rPr>
        <w:t>23</w:t>
      </w:r>
      <w:r>
        <w:rPr>
          <w:rFonts w:hint="eastAsia" w:ascii="仿宋" w:hAnsi="仿宋" w:eastAsia="仿宋" w:cs="仿宋"/>
          <w:sz w:val="24"/>
          <w:szCs w:val="24"/>
        </w:rPr>
        <w:t>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7170"/>
    <w:multiLevelType w:val="singleLevel"/>
    <w:tmpl w:val="148A7170"/>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1D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adjustRightInd w:val="0"/>
      <w:snapToGrid w:val="0"/>
      <w:spacing w:line="360" w:lineRule="auto"/>
      <w:ind w:firstLine="420"/>
    </w:pPr>
    <w:rPr>
      <w:sz w:val="24"/>
    </w:rPr>
  </w:style>
  <w:style w:type="paragraph" w:styleId="5">
    <w:name w:val="Body Text 3"/>
    <w:basedOn w:val="1"/>
    <w:uiPriority w:val="0"/>
    <w:pPr>
      <w:adjustRightInd w:val="0"/>
      <w:snapToGrid w:val="0"/>
      <w:spacing w:after="120" w:afterLines="0" w:afterAutospacing="0" w:line="360" w:lineRule="auto"/>
    </w:pPr>
    <w:rPr>
      <w:sz w:val="16"/>
    </w:rPr>
  </w:style>
  <w:style w:type="paragraph" w:styleId="6">
    <w:name w:val="Body Text Indent"/>
    <w:basedOn w:val="1"/>
    <w:qFormat/>
    <w:uiPriority w:val="0"/>
    <w:pPr>
      <w:spacing w:line="700" w:lineRule="exact"/>
      <w:ind w:left="960"/>
    </w:pPr>
    <w:rPr>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牛牛</cp:lastModifiedBy>
  <dcterms:modified xsi:type="dcterms:W3CDTF">2018-07-08T00:23:46Z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