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ind w:left="0" w:leftChars="-200" w:right="-512" w:rightChars="-244" w:hanging="420" w:firstLineChars="0"/>
        <w:jc w:val="center"/>
        <w:rPr>
          <w:rFonts w:hint="eastAsia" w:ascii="仿宋" w:hAnsi="仿宋" w:eastAsia="仿宋" w:cs="仿宋"/>
          <w:sz w:val="36"/>
          <w:szCs w:val="36"/>
        </w:rPr>
      </w:pPr>
      <w:r>
        <w:rPr>
          <w:rFonts w:hint="eastAsia" w:ascii="仿宋" w:hAnsi="仿宋" w:eastAsia="仿宋" w:cs="仿宋"/>
          <w:sz w:val="36"/>
          <w:szCs w:val="36"/>
        </w:rPr>
        <w:t>重庆市第八中学校</w:t>
      </w:r>
    </w:p>
    <w:p>
      <w:pPr>
        <w:pStyle w:val="6"/>
        <w:spacing w:after="0"/>
        <w:ind w:left="0" w:leftChars="-200" w:right="-512" w:rightChars="-244" w:hanging="420" w:firstLineChars="0"/>
        <w:jc w:val="center"/>
        <w:rPr>
          <w:rFonts w:hint="eastAsia" w:ascii="仿宋" w:hAnsi="仿宋" w:eastAsia="仿宋" w:cs="仿宋"/>
          <w:sz w:val="36"/>
          <w:szCs w:val="36"/>
          <w:lang w:eastAsia="zh-CN"/>
        </w:rPr>
      </w:pPr>
      <w:r>
        <w:rPr>
          <w:rFonts w:hint="eastAsia" w:ascii="仿宋" w:hAnsi="仿宋" w:eastAsia="仿宋" w:cs="仿宋"/>
          <w:sz w:val="36"/>
          <w:szCs w:val="36"/>
        </w:rPr>
        <w:t>校园网及WIFI覆盖升级改造建设</w:t>
      </w:r>
      <w:r>
        <w:rPr>
          <w:rFonts w:hint="eastAsia" w:ascii="仿宋" w:hAnsi="仿宋" w:eastAsia="仿宋" w:cs="仿宋"/>
          <w:sz w:val="36"/>
          <w:szCs w:val="36"/>
          <w:lang w:eastAsia="zh-CN"/>
        </w:rPr>
        <w:t>项目</w:t>
      </w:r>
      <w:r>
        <w:rPr>
          <w:rFonts w:hint="eastAsia" w:ascii="仿宋" w:hAnsi="仿宋" w:eastAsia="仿宋" w:cs="仿宋"/>
          <w:sz w:val="36"/>
          <w:szCs w:val="36"/>
        </w:rPr>
        <w:t>询价采购公告</w:t>
      </w:r>
    </w:p>
    <w:p>
      <w:pPr>
        <w:pStyle w:val="6"/>
        <w:spacing w:after="0"/>
        <w:ind w:left="0" w:leftChars="-200" w:right="-512" w:rightChars="-244" w:hanging="420" w:firstLineChars="0"/>
        <w:jc w:val="center"/>
        <w:rPr>
          <w:rFonts w:hint="eastAsia" w:ascii="仿宋" w:hAnsi="仿宋" w:eastAsia="仿宋" w:cs="仿宋"/>
          <w:sz w:val="21"/>
          <w:szCs w:val="21"/>
          <w:lang w:val="en-US" w:eastAsia="zh-CN"/>
        </w:rPr>
      </w:pPr>
    </w:p>
    <w:p>
      <w:pPr>
        <w:pStyle w:val="6"/>
        <w:keepNext w:val="0"/>
        <w:keepLines w:val="0"/>
        <w:pageBreakBefore w:val="0"/>
        <w:widowControl/>
        <w:kinsoku/>
        <w:wordWrap/>
        <w:overflowPunct/>
        <w:topLinePunct w:val="0"/>
        <w:autoSpaceDE/>
        <w:autoSpaceDN/>
        <w:bidi w:val="0"/>
        <w:adjustRightInd/>
        <w:snapToGrid/>
        <w:spacing w:after="0" w:line="360" w:lineRule="auto"/>
        <w:ind w:firstLine="641"/>
        <w:textAlignment w:val="auto"/>
        <w:outlineLvl w:val="9"/>
        <w:rPr>
          <w:rFonts w:hint="eastAsia" w:ascii="仿宋" w:hAnsi="仿宋" w:eastAsia="仿宋" w:cs="仿宋"/>
        </w:rPr>
      </w:pPr>
      <w:r>
        <w:rPr>
          <w:rFonts w:hint="eastAsia" w:ascii="仿宋" w:hAnsi="仿宋" w:eastAsia="仿宋" w:cs="仿宋"/>
        </w:rPr>
        <w:t>根据重庆市政府采购及重庆市第八中学校招投标相关规定，</w:t>
      </w:r>
      <w:r>
        <w:rPr>
          <w:rFonts w:hint="eastAsia" w:ascii="仿宋" w:hAnsi="仿宋" w:eastAsia="仿宋" w:cs="仿宋"/>
          <w:lang w:eastAsia="zh-CN"/>
        </w:rPr>
        <w:t>重庆市第八中学校校园网及WIFI覆盖升级改造建设</w:t>
      </w:r>
      <w:r>
        <w:rPr>
          <w:rFonts w:hint="eastAsia" w:ascii="仿宋" w:hAnsi="仿宋" w:eastAsia="仿宋" w:cs="仿宋"/>
        </w:rPr>
        <w:t>项目已通过学校审批程序，现对外公开询价招标。</w:t>
      </w:r>
    </w:p>
    <w:p>
      <w:pPr>
        <w:pStyle w:val="3"/>
        <w:rPr>
          <w:rFonts w:hint="eastAsia" w:ascii="仿宋" w:hAnsi="仿宋" w:eastAsia="仿宋" w:cs="仿宋"/>
          <w:sz w:val="24"/>
          <w:szCs w:val="24"/>
        </w:rPr>
      </w:pPr>
      <w:r>
        <w:rPr>
          <w:rFonts w:hint="eastAsia" w:ascii="仿宋" w:hAnsi="仿宋" w:eastAsia="仿宋" w:cs="仿宋"/>
          <w:sz w:val="24"/>
          <w:szCs w:val="24"/>
        </w:rPr>
        <w:t>一、招标单位：重庆市第八中学校</w:t>
      </w:r>
    </w:p>
    <w:p>
      <w:pPr>
        <w:pStyle w:val="3"/>
        <w:rPr>
          <w:rFonts w:hint="eastAsia" w:ascii="仿宋" w:hAnsi="仿宋" w:eastAsia="仿宋" w:cs="仿宋"/>
          <w:sz w:val="24"/>
          <w:szCs w:val="24"/>
        </w:rPr>
      </w:pPr>
      <w:r>
        <w:rPr>
          <w:rFonts w:hint="eastAsia" w:ascii="仿宋" w:hAnsi="仿宋" w:eastAsia="仿宋" w:cs="仿宋"/>
          <w:sz w:val="24"/>
          <w:szCs w:val="24"/>
        </w:rPr>
        <w:t>二、招标项目及内容</w:t>
      </w:r>
    </w:p>
    <w:p>
      <w:pPr>
        <w:pStyle w:val="6"/>
        <w:keepNext w:val="0"/>
        <w:keepLines w:val="0"/>
        <w:pageBreakBefore w:val="0"/>
        <w:kinsoku/>
        <w:wordWrap/>
        <w:overflowPunct/>
        <w:topLinePunct w:val="0"/>
        <w:autoSpaceDE/>
        <w:autoSpaceDN/>
        <w:bidi w:val="0"/>
        <w:adjustRightInd/>
        <w:spacing w:after="0" w:line="360" w:lineRule="auto"/>
        <w:textAlignment w:val="auto"/>
        <w:outlineLvl w:val="9"/>
        <w:rPr>
          <w:rFonts w:hint="eastAsia" w:ascii="仿宋" w:hAnsi="仿宋" w:eastAsia="仿宋" w:cs="仿宋"/>
        </w:rPr>
      </w:pPr>
      <w:r>
        <w:rPr>
          <w:rFonts w:hint="eastAsia" w:ascii="仿宋" w:hAnsi="仿宋" w:eastAsia="仿宋" w:cs="仿宋"/>
        </w:rPr>
        <w:t>(一)项目内容</w:t>
      </w:r>
    </w:p>
    <w:tbl>
      <w:tblPr>
        <w:tblStyle w:val="7"/>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8"/>
        <w:gridCol w:w="2064"/>
        <w:gridCol w:w="1813"/>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528"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项目名称</w:t>
            </w:r>
          </w:p>
        </w:tc>
        <w:tc>
          <w:tcPr>
            <w:tcW w:w="206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最高限价</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（万元）</w:t>
            </w:r>
          </w:p>
        </w:tc>
        <w:tc>
          <w:tcPr>
            <w:tcW w:w="181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投标保证金</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（元）</w:t>
            </w:r>
          </w:p>
        </w:tc>
        <w:tc>
          <w:tcPr>
            <w:tcW w:w="165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4528"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重庆市第八中学校校园网及WIFI覆盖升级改造建设</w:t>
            </w:r>
          </w:p>
        </w:tc>
        <w:tc>
          <w:tcPr>
            <w:tcW w:w="206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ascii="仿宋" w:hAnsi="仿宋" w:eastAsia="仿宋" w:cs="仿宋"/>
                <w:sz w:val="24"/>
                <w:szCs w:val="24"/>
                <w:lang w:val="en-US"/>
              </w:rPr>
            </w:pPr>
            <w:r>
              <w:rPr>
                <w:rFonts w:hint="eastAsia" w:ascii="仿宋" w:hAnsi="仿宋" w:eastAsia="仿宋" w:cs="仿宋"/>
                <w:sz w:val="24"/>
                <w:szCs w:val="24"/>
                <w:lang w:val="en-US" w:eastAsia="zh-CN"/>
              </w:rPr>
              <w:t>12.5</w:t>
            </w:r>
            <w:bookmarkStart w:id="10" w:name="_GoBack"/>
            <w:bookmarkEnd w:id="10"/>
          </w:p>
        </w:tc>
        <w:tc>
          <w:tcPr>
            <w:tcW w:w="181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无</w:t>
            </w:r>
          </w:p>
        </w:tc>
        <w:tc>
          <w:tcPr>
            <w:tcW w:w="165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仿宋" w:hAnsi="仿宋" w:eastAsia="仿宋" w:cs="仿宋"/>
                <w:sz w:val="24"/>
                <w:szCs w:val="24"/>
              </w:rPr>
            </w:pPr>
          </w:p>
        </w:tc>
      </w:tr>
    </w:tbl>
    <w:p>
      <w:pPr>
        <w:pStyle w:val="6"/>
        <w:keepNext w:val="0"/>
        <w:keepLines w:val="0"/>
        <w:pageBreakBefore w:val="0"/>
        <w:widowControl/>
        <w:numPr>
          <w:ilvl w:val="0"/>
          <w:numId w:val="1"/>
        </w:numPr>
        <w:kinsoku/>
        <w:wordWrap/>
        <w:overflowPunct/>
        <w:topLinePunct w:val="0"/>
        <w:autoSpaceDE/>
        <w:autoSpaceDN/>
        <w:bidi w:val="0"/>
        <w:adjustRightInd/>
        <w:snapToGrid/>
        <w:spacing w:after="0" w:line="480" w:lineRule="auto"/>
        <w:textAlignment w:val="auto"/>
        <w:outlineLvl w:val="9"/>
        <w:rPr>
          <w:rFonts w:hint="eastAsia" w:ascii="仿宋" w:hAnsi="仿宋" w:eastAsia="仿宋" w:cs="仿宋"/>
        </w:rPr>
      </w:pPr>
      <w:r>
        <w:rPr>
          <w:rFonts w:hint="eastAsia" w:ascii="仿宋" w:hAnsi="仿宋" w:eastAsia="仿宋" w:cs="仿宋"/>
        </w:rPr>
        <w:t>项目货物名称及技术参数需求</w:t>
      </w:r>
    </w:p>
    <w:tbl>
      <w:tblPr>
        <w:tblStyle w:val="7"/>
        <w:tblW w:w="10119" w:type="dxa"/>
        <w:jc w:val="center"/>
        <w:tblLayout w:type="fixed"/>
        <w:tblCellMar>
          <w:top w:w="15" w:type="dxa"/>
          <w:left w:w="15" w:type="dxa"/>
          <w:bottom w:w="15" w:type="dxa"/>
          <w:right w:w="15" w:type="dxa"/>
        </w:tblCellMar>
      </w:tblPr>
      <w:tblGrid>
        <w:gridCol w:w="572"/>
        <w:gridCol w:w="2305"/>
        <w:gridCol w:w="737"/>
        <w:gridCol w:w="941"/>
        <w:gridCol w:w="5564"/>
      </w:tblGrid>
      <w:tr>
        <w:tblPrEx>
          <w:tblCellMar>
            <w:top w:w="15" w:type="dxa"/>
            <w:left w:w="15" w:type="dxa"/>
            <w:bottom w:w="15" w:type="dxa"/>
            <w:right w:w="15" w:type="dxa"/>
          </w:tblCellMar>
        </w:tblPrEx>
        <w:trPr>
          <w:trHeight w:val="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lang w:bidi="ar"/>
              </w:rPr>
              <w:t>序号</w:t>
            </w:r>
          </w:p>
        </w:tc>
        <w:tc>
          <w:tcPr>
            <w:tcW w:w="2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lang w:bidi="ar"/>
              </w:rPr>
              <w:t>名称</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lang w:bidi="ar"/>
              </w:rPr>
              <w:t>数量</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lang w:bidi="ar"/>
              </w:rPr>
              <w:t>单位</w:t>
            </w:r>
          </w:p>
        </w:tc>
        <w:tc>
          <w:tcPr>
            <w:tcW w:w="5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lang w:bidi="ar"/>
              </w:rPr>
              <w:t xml:space="preserve"> 技术参数 </w:t>
            </w:r>
          </w:p>
        </w:tc>
      </w:tr>
      <w:tr>
        <w:tblPrEx>
          <w:tblCellMar>
            <w:top w:w="15" w:type="dxa"/>
            <w:left w:w="15" w:type="dxa"/>
            <w:bottom w:w="15" w:type="dxa"/>
            <w:right w:w="15" w:type="dxa"/>
          </w:tblCellMar>
        </w:tblPrEx>
        <w:trPr>
          <w:trHeight w:val="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1</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AC控制器</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lang w:val="en-US"/>
              </w:rPr>
            </w:pPr>
            <w:r>
              <w:rPr>
                <w:rFonts w:hint="eastAsia" w:ascii="仿宋" w:hAnsi="仿宋" w:eastAsia="仿宋" w:cs="仿宋"/>
                <w:i w:val="0"/>
                <w:color w:val="000000"/>
                <w:kern w:val="0"/>
                <w:sz w:val="21"/>
                <w:szCs w:val="21"/>
                <w:u w:val="none"/>
                <w:lang w:val="en-US" w:eastAsia="zh-CN" w:bidi="ar"/>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台</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1、 超强的行为管理功能：</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封迅雷、堵游戏、过滤开心网、管控QQ闲聊引导合理上网提供全面的专业上网行为管理功能。通过IP分组和时间组的设置，您可以建立更灵活、更人性化的管理规则，帮助您用好网络，管好网络，提高工作效率；</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2、智能流量控制：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维盟智能流控能分析网络中活动主机的各种情况，对宽带进行自动调整网络繁忙时小包，优先，保证其他用户顺畅上网；网络空闲时，分段允许用户突破限速进行高速下载，有效利用网络资源。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全新的QOS架构在原QOS上速度提高5倍，网页更加顺畅。全新流控模块，突破到网络七层，可指定应用程序进行管理，限制和限速；</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3、多WAN接入：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带宽叠加：同时接入4条广域网，采用多线程工具，可以达到叠加后的网络速度；</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线路备份：当主线路掉线后，备用线路顶替工作，保证网络畅通；</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线路分流：可依据来源IP、目的IP、来源端口、目的端口、域名进行线路分配；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策略路由：同时接入电信、新联通等不同运营商，解决互联网南北电信的尴尬；</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4、广域网WAN端口：4个100/1000M自适应RJ45，局域网LAN端口：1个100/1000M自适应RJ45；标准带机量：200台。</w:t>
            </w:r>
          </w:p>
        </w:tc>
      </w:tr>
      <w:tr>
        <w:tblPrEx>
          <w:tblCellMar>
            <w:top w:w="15" w:type="dxa"/>
            <w:left w:w="15" w:type="dxa"/>
            <w:bottom w:w="15" w:type="dxa"/>
            <w:right w:w="15" w:type="dxa"/>
          </w:tblCellMar>
        </w:tblPrEx>
        <w:trPr>
          <w:trHeight w:val="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2</w:t>
            </w:r>
          </w:p>
        </w:tc>
        <w:tc>
          <w:tcPr>
            <w:tcW w:w="2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核心交换机</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（校园网接入交换机更新）</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台</w:t>
            </w:r>
          </w:p>
        </w:tc>
        <w:tc>
          <w:tcPr>
            <w:tcW w:w="5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1、性能要求：交换容量≥336Gbps，转发性能≥51Mpps；端口类型：24个10/100/1000Base-T以太网端口，4个千兆SFP；</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2、VLAN特性：支持4K个VLAN，支持Guest VLAN、Voice VLANs，支持GVRP协议，支持MUX VLAN功能，支持基于MAC/协议/IP子网/策略/端口的VLAN，支持1:1和N:1 VLAN Mapping功能；</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3、IP路由：支持静态路由，支持RIP、RIPng协议，支持OSPF协议；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4、安装位置：一教学楼、二教学楼、科技楼、行政楼</w:t>
            </w:r>
          </w:p>
        </w:tc>
      </w:tr>
      <w:tr>
        <w:tblPrEx>
          <w:tblCellMar>
            <w:top w:w="15" w:type="dxa"/>
            <w:left w:w="15" w:type="dxa"/>
            <w:bottom w:w="15" w:type="dxa"/>
            <w:right w:w="15" w:type="dxa"/>
          </w:tblCellMar>
        </w:tblPrEx>
        <w:trPr>
          <w:trHeight w:val="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3</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光模块</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8</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台</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光模块-eSFP-GE-单模模块（1310nm，10km，LC）</w:t>
            </w:r>
          </w:p>
        </w:tc>
      </w:tr>
      <w:tr>
        <w:tblPrEx>
          <w:tblCellMar>
            <w:top w:w="15" w:type="dxa"/>
            <w:left w:w="15" w:type="dxa"/>
            <w:bottom w:w="15" w:type="dxa"/>
            <w:right w:w="15" w:type="dxa"/>
          </w:tblCellMar>
        </w:tblPrEx>
        <w:trPr>
          <w:trHeight w:val="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4</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光模块跳线</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16</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条</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FC/LC尾纤，1米</w:t>
            </w:r>
          </w:p>
        </w:tc>
      </w:tr>
      <w:tr>
        <w:tblPrEx>
          <w:tblCellMar>
            <w:top w:w="15" w:type="dxa"/>
            <w:left w:w="15" w:type="dxa"/>
            <w:bottom w:w="15" w:type="dxa"/>
            <w:right w:w="15" w:type="dxa"/>
          </w:tblCellMar>
        </w:tblPrEx>
        <w:trPr>
          <w:trHeight w:val="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5</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全千兆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POE交换机</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台</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bCs/>
                <w:color w:val="000000"/>
                <w:sz w:val="21"/>
                <w:szCs w:val="21"/>
              </w:rPr>
            </w:pPr>
            <w:r>
              <w:rPr>
                <w:rFonts w:hint="eastAsia" w:ascii="仿宋" w:hAnsi="仿宋" w:eastAsia="仿宋" w:cs="仿宋"/>
                <w:i w:val="0"/>
                <w:color w:val="000000"/>
                <w:kern w:val="0"/>
                <w:sz w:val="21"/>
                <w:szCs w:val="21"/>
                <w:u w:val="none"/>
                <w:lang w:val="en-US" w:eastAsia="zh-CN" w:bidi="ar"/>
              </w:rPr>
              <w:t>1、24个10/100/1000M 自适应 RJ45 端口，2 个千兆光纤端口+1 个 Console 端口；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2、符合 IEEE 802.3、IEEE 802.3u、IEEE802.3x、IEEE802.3ab、IEEE802.3q、IEEE802.3z、IEEE802.3af、IEEE802.3at 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 单 port 功耗可最大支持 30W，总电源功耗最大可以达到 330W；</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4、流控方式：全双工采用 IEEE 802.3x 标准，半双工采用 Backpressure 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5、存储-转发体系结构；</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6、动态 LED 指示灯提供简单的工作状态提示及故障排除；</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7、背板带宽：52G，MAC地址容量：8K，转发速率：39Mbps；</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8、安装位置：一教学楼、二教学楼、科技楼、行政楼。</w:t>
            </w:r>
          </w:p>
        </w:tc>
      </w:tr>
      <w:tr>
        <w:tblPrEx>
          <w:tblCellMar>
            <w:top w:w="15" w:type="dxa"/>
            <w:left w:w="15" w:type="dxa"/>
            <w:bottom w:w="15" w:type="dxa"/>
            <w:right w:w="15" w:type="dxa"/>
          </w:tblCellMar>
        </w:tblPrEx>
        <w:trPr>
          <w:trHeight w:val="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6</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专业级千兆高密度无线AP</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20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台</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bCs/>
                <w:color w:val="000000"/>
                <w:kern w:val="0"/>
                <w:sz w:val="21"/>
                <w:szCs w:val="21"/>
                <w:lang w:bidi="ar"/>
              </w:rPr>
            </w:pPr>
            <w:r>
              <w:rPr>
                <w:rStyle w:val="19"/>
                <w:rFonts w:hint="eastAsia" w:ascii="仿宋" w:hAnsi="仿宋" w:eastAsia="仿宋" w:cs="仿宋"/>
                <w:sz w:val="21"/>
                <w:szCs w:val="21"/>
                <w:lang w:val="en-US" w:eastAsia="zh-CN" w:bidi="ar"/>
              </w:rPr>
              <w:t>1、无线射频优化</w:t>
            </w:r>
            <w:r>
              <w:rPr>
                <w:rStyle w:val="20"/>
                <w:rFonts w:hint="eastAsia" w:ascii="仿宋" w:hAnsi="仿宋" w:eastAsia="仿宋" w:cs="仿宋"/>
                <w:sz w:val="21"/>
                <w:szCs w:val="21"/>
                <w:lang w:val="en-US" w:eastAsia="zh-CN" w:bidi="ar"/>
              </w:rPr>
              <w:br w:type="textWrapping"/>
            </w:r>
            <w:r>
              <w:rPr>
                <w:rStyle w:val="20"/>
                <w:rFonts w:hint="eastAsia" w:ascii="仿宋" w:hAnsi="仿宋" w:eastAsia="仿宋" w:cs="仿宋"/>
                <w:sz w:val="21"/>
                <w:szCs w:val="21"/>
                <w:lang w:val="en-US" w:eastAsia="zh-CN" w:bidi="ar"/>
              </w:rPr>
              <w:t>可以实现无线传输中不同距离、不同场景的针对性覆盖技术；</w:t>
            </w:r>
            <w:r>
              <w:rPr>
                <w:rStyle w:val="20"/>
                <w:rFonts w:hint="eastAsia" w:ascii="仿宋" w:hAnsi="仿宋" w:eastAsia="仿宋" w:cs="仿宋"/>
                <w:sz w:val="21"/>
                <w:szCs w:val="21"/>
                <w:lang w:val="en-US" w:eastAsia="zh-CN" w:bidi="ar"/>
              </w:rPr>
              <w:br w:type="textWrapping"/>
            </w:r>
            <w:r>
              <w:rPr>
                <w:rStyle w:val="19"/>
                <w:rFonts w:hint="eastAsia" w:ascii="仿宋" w:hAnsi="仿宋" w:eastAsia="仿宋" w:cs="仿宋"/>
                <w:sz w:val="21"/>
                <w:szCs w:val="21"/>
                <w:lang w:val="en-US" w:eastAsia="zh-CN" w:bidi="ar"/>
              </w:rPr>
              <w:t xml:space="preserve">2、支持PoE供电 </w:t>
            </w:r>
            <w:r>
              <w:rPr>
                <w:rStyle w:val="20"/>
                <w:rFonts w:hint="eastAsia" w:ascii="仿宋" w:hAnsi="仿宋" w:eastAsia="仿宋" w:cs="仿宋"/>
                <w:sz w:val="21"/>
                <w:szCs w:val="21"/>
                <w:lang w:val="en-US" w:eastAsia="zh-CN" w:bidi="ar"/>
              </w:rPr>
              <w:br w:type="textWrapping"/>
            </w:r>
            <w:r>
              <w:rPr>
                <w:rStyle w:val="20"/>
                <w:rFonts w:hint="eastAsia" w:ascii="仿宋" w:hAnsi="仿宋" w:eastAsia="仿宋" w:cs="仿宋"/>
                <w:sz w:val="21"/>
                <w:szCs w:val="21"/>
                <w:lang w:val="en-US" w:eastAsia="zh-CN" w:bidi="ar"/>
              </w:rPr>
              <w:t>支持802.3af标准PoE供电，同时支持外置12V/1.5A DC电源适配器输入；</w:t>
            </w:r>
            <w:r>
              <w:rPr>
                <w:rStyle w:val="20"/>
                <w:rFonts w:hint="eastAsia" w:ascii="仿宋" w:hAnsi="仿宋" w:eastAsia="仿宋" w:cs="仿宋"/>
                <w:sz w:val="21"/>
                <w:szCs w:val="21"/>
                <w:lang w:val="en-US" w:eastAsia="zh-CN" w:bidi="ar"/>
              </w:rPr>
              <w:br w:type="textWrapping"/>
            </w:r>
            <w:r>
              <w:rPr>
                <w:rStyle w:val="19"/>
                <w:rFonts w:hint="eastAsia" w:ascii="仿宋" w:hAnsi="仿宋" w:eastAsia="仿宋" w:cs="仿宋"/>
                <w:sz w:val="21"/>
                <w:szCs w:val="21"/>
                <w:lang w:val="en-US" w:eastAsia="zh-CN" w:bidi="ar"/>
              </w:rPr>
              <w:t>3、支持中文SSID：</w:t>
            </w:r>
            <w:r>
              <w:rPr>
                <w:rStyle w:val="20"/>
                <w:rFonts w:hint="eastAsia" w:ascii="仿宋" w:hAnsi="仿宋" w:eastAsia="仿宋" w:cs="仿宋"/>
                <w:sz w:val="21"/>
                <w:szCs w:val="21"/>
                <w:lang w:val="en-US" w:eastAsia="zh-CN" w:bidi="ar"/>
              </w:rPr>
              <w:t>人性化的中文SSID（无线信号名称）广播，支持5个中文SSID；</w:t>
            </w:r>
            <w:r>
              <w:rPr>
                <w:rStyle w:val="20"/>
                <w:rFonts w:hint="eastAsia" w:ascii="仿宋" w:hAnsi="仿宋" w:eastAsia="仿宋" w:cs="仿宋"/>
                <w:sz w:val="21"/>
                <w:szCs w:val="21"/>
                <w:lang w:val="en-US" w:eastAsia="zh-CN" w:bidi="ar"/>
              </w:rPr>
              <w:br w:type="textWrapping"/>
            </w:r>
            <w:r>
              <w:rPr>
                <w:rStyle w:val="19"/>
                <w:rFonts w:hint="eastAsia" w:ascii="仿宋" w:hAnsi="仿宋" w:eastAsia="仿宋" w:cs="仿宋"/>
                <w:sz w:val="21"/>
                <w:szCs w:val="21"/>
                <w:lang w:val="en-US" w:eastAsia="zh-CN" w:bidi="ar"/>
              </w:rPr>
              <w:t>4、高连接速率：</w:t>
            </w:r>
            <w:r>
              <w:rPr>
                <w:rStyle w:val="20"/>
                <w:rFonts w:hint="eastAsia" w:ascii="仿宋" w:hAnsi="仿宋" w:eastAsia="仿宋" w:cs="仿宋"/>
                <w:sz w:val="21"/>
                <w:szCs w:val="21"/>
                <w:lang w:val="en-US" w:eastAsia="zh-CN" w:bidi="ar"/>
              </w:rPr>
              <w:t>采用3T3R大增益天线，最高连接速率可达1750Mbps；</w:t>
            </w:r>
            <w:r>
              <w:rPr>
                <w:rStyle w:val="20"/>
                <w:rFonts w:hint="eastAsia" w:ascii="仿宋" w:hAnsi="仿宋" w:eastAsia="仿宋" w:cs="仿宋"/>
                <w:sz w:val="21"/>
                <w:szCs w:val="21"/>
                <w:lang w:val="en-US" w:eastAsia="zh-CN" w:bidi="ar"/>
              </w:rPr>
              <w:br w:type="textWrapping"/>
            </w:r>
            <w:r>
              <w:rPr>
                <w:rStyle w:val="19"/>
                <w:rFonts w:hint="eastAsia" w:ascii="仿宋" w:hAnsi="仿宋" w:eastAsia="仿宋" w:cs="仿宋"/>
                <w:sz w:val="21"/>
                <w:szCs w:val="21"/>
                <w:lang w:val="en-US" w:eastAsia="zh-CN" w:bidi="ar"/>
              </w:rPr>
              <w:t>5、支持两种模式，灵活组网</w:t>
            </w:r>
            <w:r>
              <w:rPr>
                <w:rStyle w:val="20"/>
                <w:rFonts w:hint="eastAsia" w:ascii="仿宋" w:hAnsi="仿宋" w:eastAsia="仿宋" w:cs="仿宋"/>
                <w:sz w:val="21"/>
                <w:szCs w:val="21"/>
                <w:lang w:val="en-US" w:eastAsia="zh-CN" w:bidi="ar"/>
              </w:rPr>
              <w:br w:type="textWrapping"/>
            </w:r>
            <w:r>
              <w:rPr>
                <w:rStyle w:val="20"/>
                <w:rFonts w:hint="eastAsia" w:ascii="仿宋" w:hAnsi="仿宋" w:eastAsia="仿宋" w:cs="仿宋"/>
                <w:sz w:val="21"/>
                <w:szCs w:val="21"/>
                <w:lang w:val="en-US" w:eastAsia="zh-CN" w:bidi="ar"/>
              </w:rPr>
              <w:t>AP模式：（默认模式）设备通过有线连接上级网络设备，客户端通过无线连接本设备，实现无线覆盖；中继/桥接模式：多个AP之间相互扫描并添加对方的无线网络来完成无线中继/桥接，实现无线网络覆盖和扩展；</w:t>
            </w:r>
            <w:r>
              <w:rPr>
                <w:rStyle w:val="20"/>
                <w:rFonts w:hint="eastAsia" w:ascii="仿宋" w:hAnsi="仿宋" w:eastAsia="仿宋" w:cs="仿宋"/>
                <w:sz w:val="21"/>
                <w:szCs w:val="21"/>
                <w:lang w:val="en-US" w:eastAsia="zh-CN" w:bidi="ar"/>
              </w:rPr>
              <w:br w:type="textWrapping"/>
            </w:r>
            <w:r>
              <w:rPr>
                <w:rStyle w:val="19"/>
                <w:rFonts w:hint="eastAsia" w:ascii="仿宋" w:hAnsi="仿宋" w:eastAsia="仿宋" w:cs="仿宋"/>
                <w:sz w:val="21"/>
                <w:szCs w:val="21"/>
                <w:lang w:val="en-US" w:eastAsia="zh-CN" w:bidi="ar"/>
              </w:rPr>
              <w:t>6、智能负载均衡</w:t>
            </w:r>
            <w:r>
              <w:rPr>
                <w:rStyle w:val="20"/>
                <w:rFonts w:hint="eastAsia" w:ascii="仿宋" w:hAnsi="仿宋" w:eastAsia="仿宋" w:cs="仿宋"/>
                <w:sz w:val="21"/>
                <w:szCs w:val="21"/>
                <w:lang w:val="en-US" w:eastAsia="zh-CN" w:bidi="ar"/>
              </w:rPr>
              <w:br w:type="textWrapping"/>
            </w:r>
            <w:r>
              <w:rPr>
                <w:rStyle w:val="20"/>
                <w:rFonts w:hint="eastAsia" w:ascii="仿宋" w:hAnsi="仿宋" w:eastAsia="仿宋" w:cs="仿宋"/>
                <w:sz w:val="21"/>
                <w:szCs w:val="21"/>
                <w:lang w:val="en-US" w:eastAsia="zh-CN" w:bidi="ar"/>
              </w:rPr>
              <w:t>支持接入用户数负载均衡方式，当AP的负载超过设定的门限值以后，对于新接入的用户, WayOS智慧WIFI网关AC管控端会自动计算此用户周围是否还有负载较轻的AP可供用户接入；</w:t>
            </w:r>
            <w:r>
              <w:rPr>
                <w:rStyle w:val="20"/>
                <w:rFonts w:hint="eastAsia" w:ascii="仿宋" w:hAnsi="仿宋" w:eastAsia="仿宋" w:cs="仿宋"/>
                <w:sz w:val="21"/>
                <w:szCs w:val="21"/>
                <w:lang w:val="en-US" w:eastAsia="zh-CN" w:bidi="ar"/>
              </w:rPr>
              <w:br w:type="textWrapping"/>
            </w:r>
            <w:r>
              <w:rPr>
                <w:rStyle w:val="19"/>
                <w:rFonts w:hint="eastAsia" w:ascii="仿宋" w:hAnsi="仿宋" w:eastAsia="仿宋" w:cs="仿宋"/>
                <w:sz w:val="21"/>
                <w:szCs w:val="21"/>
                <w:lang w:val="en-US" w:eastAsia="zh-CN" w:bidi="ar"/>
              </w:rPr>
              <w:t>7、支持11ac技术MU-MIMO：</w:t>
            </w:r>
            <w:r>
              <w:rPr>
                <w:rStyle w:val="20"/>
                <w:rFonts w:hint="eastAsia" w:ascii="仿宋" w:hAnsi="仿宋" w:eastAsia="仿宋" w:cs="仿宋"/>
                <w:sz w:val="21"/>
                <w:szCs w:val="21"/>
                <w:lang w:val="en-US" w:eastAsia="zh-CN" w:bidi="ar"/>
              </w:rPr>
              <w:t>支持新一代802.11ac技术的Wave 2标准；</w:t>
            </w:r>
            <w:r>
              <w:rPr>
                <w:rStyle w:val="20"/>
                <w:rFonts w:hint="eastAsia" w:ascii="仿宋" w:hAnsi="仿宋" w:eastAsia="仿宋" w:cs="仿宋"/>
                <w:sz w:val="21"/>
                <w:szCs w:val="21"/>
                <w:lang w:val="en-US" w:eastAsia="zh-CN" w:bidi="ar"/>
              </w:rPr>
              <w:br w:type="textWrapping"/>
            </w:r>
            <w:r>
              <w:rPr>
                <w:rStyle w:val="19"/>
                <w:rFonts w:hint="eastAsia" w:ascii="仿宋" w:hAnsi="仿宋" w:eastAsia="仿宋" w:cs="仿宋"/>
                <w:sz w:val="21"/>
                <w:szCs w:val="21"/>
                <w:lang w:val="en-US" w:eastAsia="zh-CN" w:bidi="ar"/>
              </w:rPr>
              <w:t>8、具体位置：</w:t>
            </w:r>
            <w:r>
              <w:rPr>
                <w:rStyle w:val="20"/>
                <w:rFonts w:hint="eastAsia" w:ascii="仿宋" w:hAnsi="仿宋" w:eastAsia="仿宋" w:cs="仿宋"/>
                <w:sz w:val="21"/>
                <w:szCs w:val="21"/>
                <w:lang w:val="en-US" w:eastAsia="zh-CN" w:bidi="ar"/>
              </w:rPr>
              <w:t>一教学楼8间办公室+二教学楼4间办公室（国际部）+三教学楼2间办公室+科技楼学术报告厅（2台）+图书阅览室（3台）+行政楼5楼会议室（1台）。</w:t>
            </w:r>
          </w:p>
        </w:tc>
      </w:tr>
      <w:tr>
        <w:tblPrEx>
          <w:tblCellMar>
            <w:top w:w="15" w:type="dxa"/>
            <w:left w:w="15" w:type="dxa"/>
            <w:bottom w:w="15" w:type="dxa"/>
            <w:right w:w="15" w:type="dxa"/>
          </w:tblCellMar>
        </w:tblPrEx>
        <w:trPr>
          <w:trHeight w:val="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7</w:t>
            </w:r>
          </w:p>
        </w:tc>
        <w:tc>
          <w:tcPr>
            <w:tcW w:w="2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非屏蔽双绞线</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6</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箱</w:t>
            </w:r>
          </w:p>
        </w:tc>
        <w:tc>
          <w:tcPr>
            <w:tcW w:w="5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bCs/>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1、满足及超过TIA/EIA-568-C.2、YD/T1019六类标准、《YD/T1019-2001 数字通信用实心聚烯烃绝缘水平对绞电缆》；包装规格：305米/箱；</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2、导体：标准要求数字通信电缆的导体需采用电工软圆铜线，单股内径： 0.6mm；</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3、绝缘：采用HDPE，表面光滑，延伸率优异；</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4、护套：采用阻燃聚氯乙烯料，符合安全要求。</w:t>
            </w:r>
          </w:p>
        </w:tc>
      </w:tr>
      <w:tr>
        <w:tblPrEx>
          <w:tblCellMar>
            <w:top w:w="15" w:type="dxa"/>
            <w:left w:w="15" w:type="dxa"/>
            <w:bottom w:w="15" w:type="dxa"/>
            <w:right w:w="15" w:type="dxa"/>
          </w:tblCellMar>
        </w:tblPrEx>
        <w:trPr>
          <w:trHeight w:val="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8</w:t>
            </w:r>
          </w:p>
        </w:tc>
        <w:tc>
          <w:tcPr>
            <w:tcW w:w="2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子设备间壁挂机柜</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 xml:space="preserve">2 </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个</w:t>
            </w:r>
          </w:p>
        </w:tc>
        <w:tc>
          <w:tcPr>
            <w:tcW w:w="5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bCs/>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1、采用钢化玻璃门；顶部自带风扇，配置2块隔板及电源插槽；</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2、材料及工艺SPCC优质冷扎钢板制作；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3、表面处理：脱脂、酸洗、磷化、静电喷塑；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4、存放设备：交换机、光纤收发器、光纤配线架等。</w:t>
            </w:r>
          </w:p>
        </w:tc>
      </w:tr>
      <w:tr>
        <w:tblPrEx>
          <w:tblCellMar>
            <w:top w:w="15" w:type="dxa"/>
            <w:left w:w="15" w:type="dxa"/>
            <w:bottom w:w="15" w:type="dxa"/>
            <w:right w:w="15" w:type="dxa"/>
          </w:tblCellMar>
        </w:tblPrEx>
        <w:trPr>
          <w:trHeight w:val="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9</w:t>
            </w:r>
          </w:p>
        </w:tc>
        <w:tc>
          <w:tcPr>
            <w:tcW w:w="2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PVC管材及配件</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1</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批</w:t>
            </w:r>
          </w:p>
        </w:tc>
        <w:tc>
          <w:tcPr>
            <w:tcW w:w="5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bCs/>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厚型、阻燃、防水、可冷弯。</w:t>
            </w:r>
          </w:p>
        </w:tc>
      </w:tr>
      <w:tr>
        <w:tblPrEx>
          <w:tblCellMar>
            <w:top w:w="15" w:type="dxa"/>
            <w:left w:w="15" w:type="dxa"/>
            <w:bottom w:w="15" w:type="dxa"/>
            <w:right w:w="15" w:type="dxa"/>
          </w:tblCellMar>
        </w:tblPrEx>
        <w:trPr>
          <w:trHeight w:val="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10</w:t>
            </w:r>
          </w:p>
        </w:tc>
        <w:tc>
          <w:tcPr>
            <w:tcW w:w="2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其它辅材</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1</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批</w:t>
            </w:r>
          </w:p>
        </w:tc>
        <w:tc>
          <w:tcPr>
            <w:tcW w:w="5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bCs/>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无氧铜镀金水晶头、各型接线端子、塑胶扎带、机打标签、绕线管、电工胶带、膨胀钉、标件锣丝、手孔井、公牛线板及插头插座等工程施工辅材。</w:t>
            </w:r>
          </w:p>
        </w:tc>
      </w:tr>
      <w:tr>
        <w:tblPrEx>
          <w:tblCellMar>
            <w:top w:w="15" w:type="dxa"/>
            <w:left w:w="15" w:type="dxa"/>
            <w:bottom w:w="15" w:type="dxa"/>
            <w:right w:w="15" w:type="dxa"/>
          </w:tblCellMar>
        </w:tblPrEx>
        <w:trPr>
          <w:trHeight w:val="0"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val="en-US" w:eastAsia="zh-CN" w:bidi="ar"/>
              </w:rPr>
              <w:t>11</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技术服务费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项</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项目所有设施设备的保险、运输、施工直接工程费（所有人工费、机械费）、组织措施费（含安全文明施工，环境保护等）、技术措施费、间接费（规费、管理费、财务费等）、符合国家相关政策规定的税赋、售后服务费用及完成本工程不可或缺的工作和责任所发生的费用等。</w:t>
            </w:r>
          </w:p>
        </w:tc>
      </w:tr>
    </w:tbl>
    <w:p>
      <w:pPr>
        <w:pStyle w:val="3"/>
        <w:pageBreakBefore w:val="0"/>
        <w:kinsoku/>
        <w:wordWrap/>
        <w:overflowPunct/>
        <w:topLinePunct w:val="0"/>
        <w:autoSpaceDE/>
        <w:autoSpaceDN/>
        <w:bidi w:val="0"/>
        <w:adjustRightInd/>
        <w:spacing w:before="0" w:after="0" w:line="420" w:lineRule="exact"/>
        <w:textAlignment w:val="auto"/>
        <w:rPr>
          <w:rFonts w:hint="eastAsia" w:ascii="仿宋" w:hAnsi="仿宋" w:eastAsia="仿宋" w:cs="仿宋"/>
          <w:sz w:val="24"/>
          <w:szCs w:val="24"/>
        </w:rPr>
      </w:pPr>
      <w:r>
        <w:rPr>
          <w:rFonts w:hint="eastAsia" w:ascii="仿宋" w:hAnsi="仿宋" w:eastAsia="仿宋" w:cs="仿宋"/>
          <w:sz w:val="24"/>
          <w:szCs w:val="24"/>
        </w:rPr>
        <w:t>三、完成时间</w:t>
      </w:r>
    </w:p>
    <w:p>
      <w:pPr>
        <w:pStyle w:val="6"/>
        <w:pageBreakBefore w:val="0"/>
        <w:kinsoku/>
        <w:wordWrap/>
        <w:overflowPunct/>
        <w:topLinePunct w:val="0"/>
        <w:autoSpaceDE/>
        <w:autoSpaceDN/>
        <w:bidi w:val="0"/>
        <w:adjustRightInd/>
        <w:spacing w:after="0" w:line="420" w:lineRule="exact"/>
        <w:ind w:firstLine="480" w:firstLineChars="200"/>
        <w:jc w:val="both"/>
        <w:textAlignment w:val="auto"/>
        <w:rPr>
          <w:rFonts w:hint="eastAsia" w:ascii="仿宋" w:hAnsi="仿宋" w:eastAsia="仿宋" w:cs="仿宋"/>
        </w:rPr>
      </w:pPr>
      <w:r>
        <w:rPr>
          <w:rFonts w:hint="eastAsia" w:ascii="仿宋" w:hAnsi="仿宋" w:eastAsia="仿宋" w:cs="仿宋"/>
        </w:rPr>
        <w:t>签订合同后</w:t>
      </w:r>
      <w:r>
        <w:rPr>
          <w:rFonts w:hint="eastAsia" w:ascii="仿宋" w:hAnsi="仿宋" w:eastAsia="仿宋" w:cs="仿宋"/>
          <w:b/>
          <w:lang w:val="en-US" w:eastAsia="zh-CN"/>
        </w:rPr>
        <w:t>2</w:t>
      </w:r>
      <w:r>
        <w:rPr>
          <w:rFonts w:hint="eastAsia" w:ascii="仿宋" w:hAnsi="仿宋" w:eastAsia="仿宋" w:cs="仿宋"/>
          <w:b/>
        </w:rPr>
        <w:t>0个</w:t>
      </w:r>
      <w:r>
        <w:rPr>
          <w:rFonts w:hint="eastAsia" w:ascii="仿宋" w:hAnsi="仿宋" w:eastAsia="仿宋" w:cs="仿宋"/>
          <w:bCs/>
        </w:rPr>
        <w:t>日历日</w:t>
      </w:r>
      <w:r>
        <w:rPr>
          <w:rFonts w:hint="eastAsia" w:ascii="仿宋" w:hAnsi="仿宋" w:eastAsia="仿宋" w:cs="仿宋"/>
        </w:rPr>
        <w:t>内完成，包括系统设备安装及调试时间。</w:t>
      </w:r>
    </w:p>
    <w:p>
      <w:pPr>
        <w:pStyle w:val="3"/>
        <w:pageBreakBefore w:val="0"/>
        <w:kinsoku/>
        <w:wordWrap/>
        <w:overflowPunct/>
        <w:topLinePunct w:val="0"/>
        <w:autoSpaceDE/>
        <w:autoSpaceDN/>
        <w:bidi w:val="0"/>
        <w:adjustRightInd/>
        <w:spacing w:before="0" w:after="0" w:line="420" w:lineRule="exact"/>
        <w:textAlignment w:val="auto"/>
        <w:rPr>
          <w:rFonts w:hint="eastAsia" w:ascii="仿宋" w:hAnsi="仿宋" w:eastAsia="仿宋" w:cs="仿宋"/>
          <w:sz w:val="24"/>
          <w:szCs w:val="24"/>
        </w:rPr>
      </w:pPr>
      <w:r>
        <w:rPr>
          <w:rFonts w:hint="eastAsia" w:ascii="仿宋" w:hAnsi="仿宋" w:eastAsia="仿宋" w:cs="仿宋"/>
          <w:sz w:val="24"/>
          <w:szCs w:val="24"/>
        </w:rPr>
        <w:t>四、投标资质要求</w:t>
      </w:r>
    </w:p>
    <w:p>
      <w:pPr>
        <w:pStyle w:val="6"/>
        <w:pageBreakBefore w:val="0"/>
        <w:kinsoku/>
        <w:wordWrap/>
        <w:overflowPunct/>
        <w:topLinePunct w:val="0"/>
        <w:autoSpaceDE/>
        <w:autoSpaceDN/>
        <w:bidi w:val="0"/>
        <w:adjustRightInd/>
        <w:spacing w:after="0" w:line="420" w:lineRule="exact"/>
        <w:ind w:firstLine="480" w:firstLineChars="200"/>
        <w:jc w:val="both"/>
        <w:textAlignment w:val="auto"/>
        <w:rPr>
          <w:rFonts w:hint="eastAsia" w:ascii="仿宋" w:hAnsi="仿宋" w:eastAsia="仿宋" w:cs="仿宋"/>
        </w:rPr>
      </w:pPr>
      <w:r>
        <w:rPr>
          <w:rFonts w:hint="eastAsia" w:ascii="仿宋" w:hAnsi="仿宋" w:eastAsia="仿宋" w:cs="仿宋"/>
        </w:rPr>
        <w:t>1、具有独立承担民事责任的能力,提供单位营业执照、税务登记证、组织机构代码证复印件（已三证合一的，只提供营业执照）、投标人法定代表人身份证明和法定代表人授权代表委托书、法定代表人授权代表在投标单位缴纳社会保障金证明材料；</w:t>
      </w:r>
    </w:p>
    <w:p>
      <w:pPr>
        <w:pStyle w:val="6"/>
        <w:pageBreakBefore w:val="0"/>
        <w:kinsoku/>
        <w:wordWrap/>
        <w:overflowPunct/>
        <w:topLinePunct w:val="0"/>
        <w:autoSpaceDE/>
        <w:autoSpaceDN/>
        <w:bidi w:val="0"/>
        <w:adjustRightInd/>
        <w:spacing w:after="0" w:line="420" w:lineRule="exact"/>
        <w:ind w:firstLine="480" w:firstLineChars="200"/>
        <w:textAlignment w:val="auto"/>
        <w:rPr>
          <w:rFonts w:hint="eastAsia" w:ascii="仿宋" w:hAnsi="仿宋" w:eastAsia="仿宋" w:cs="仿宋"/>
        </w:rPr>
      </w:pPr>
      <w:r>
        <w:rPr>
          <w:rFonts w:hint="eastAsia" w:ascii="仿宋" w:hAnsi="仿宋" w:eastAsia="仿宋" w:cs="仿宋"/>
        </w:rPr>
        <w:t>2、具有良好的商业信誉和健全的财务会计制度；</w:t>
      </w:r>
    </w:p>
    <w:p>
      <w:pPr>
        <w:pStyle w:val="6"/>
        <w:pageBreakBefore w:val="0"/>
        <w:kinsoku/>
        <w:wordWrap/>
        <w:overflowPunct/>
        <w:topLinePunct w:val="0"/>
        <w:autoSpaceDE/>
        <w:autoSpaceDN/>
        <w:bidi w:val="0"/>
        <w:adjustRightInd/>
        <w:spacing w:after="0" w:line="420" w:lineRule="exact"/>
        <w:ind w:firstLine="480" w:firstLineChars="200"/>
        <w:textAlignment w:val="auto"/>
        <w:rPr>
          <w:rFonts w:hint="eastAsia" w:ascii="仿宋" w:hAnsi="仿宋" w:eastAsia="仿宋" w:cs="仿宋"/>
        </w:rPr>
      </w:pPr>
      <w:r>
        <w:rPr>
          <w:rFonts w:hint="eastAsia" w:ascii="仿宋" w:hAnsi="仿宋" w:eastAsia="仿宋" w:cs="仿宋"/>
        </w:rPr>
        <w:t>3、具有履行合同所必需的设备和专业技术能力；</w:t>
      </w:r>
    </w:p>
    <w:p>
      <w:pPr>
        <w:pStyle w:val="6"/>
        <w:pageBreakBefore w:val="0"/>
        <w:kinsoku/>
        <w:wordWrap/>
        <w:overflowPunct/>
        <w:topLinePunct w:val="0"/>
        <w:autoSpaceDE/>
        <w:autoSpaceDN/>
        <w:bidi w:val="0"/>
        <w:adjustRightInd/>
        <w:spacing w:after="0" w:line="420" w:lineRule="exact"/>
        <w:ind w:firstLine="480" w:firstLineChars="200"/>
        <w:jc w:val="both"/>
        <w:textAlignment w:val="auto"/>
        <w:rPr>
          <w:rFonts w:hint="eastAsia" w:ascii="仿宋" w:hAnsi="仿宋" w:eastAsia="仿宋" w:cs="仿宋"/>
        </w:rPr>
      </w:pPr>
      <w:r>
        <w:rPr>
          <w:rFonts w:hint="eastAsia" w:ascii="仿宋" w:hAnsi="仿宋" w:eastAsia="仿宋" w:cs="仿宋"/>
        </w:rPr>
        <w:t>4、有依法缴纳税收和社会保障资金的良好记录；</w:t>
      </w:r>
    </w:p>
    <w:p>
      <w:pPr>
        <w:pStyle w:val="6"/>
        <w:pageBreakBefore w:val="0"/>
        <w:kinsoku/>
        <w:wordWrap/>
        <w:overflowPunct/>
        <w:topLinePunct w:val="0"/>
        <w:autoSpaceDE/>
        <w:autoSpaceDN/>
        <w:bidi w:val="0"/>
        <w:adjustRightInd/>
        <w:spacing w:after="0" w:line="420" w:lineRule="exact"/>
        <w:ind w:firstLine="480" w:firstLineChars="200"/>
        <w:jc w:val="both"/>
        <w:textAlignment w:val="auto"/>
        <w:rPr>
          <w:rFonts w:hint="eastAsia" w:ascii="仿宋" w:hAnsi="仿宋" w:eastAsia="仿宋" w:cs="仿宋"/>
        </w:rPr>
      </w:pPr>
      <w:r>
        <w:rPr>
          <w:rFonts w:hint="eastAsia" w:ascii="仿宋" w:hAnsi="仿宋" w:eastAsia="仿宋" w:cs="仿宋"/>
        </w:rPr>
        <w:t>5、参加政府采购活动近三年内，在经营活动中没有重大违法记录。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（以上证明材料的复印件（加盖投标人公章），原件备查）</w:t>
      </w:r>
    </w:p>
    <w:p>
      <w:pPr>
        <w:pStyle w:val="3"/>
        <w:pageBreakBefore w:val="0"/>
        <w:kinsoku/>
        <w:wordWrap/>
        <w:overflowPunct/>
        <w:topLinePunct w:val="0"/>
        <w:autoSpaceDE/>
        <w:autoSpaceDN/>
        <w:bidi w:val="0"/>
        <w:adjustRightInd/>
        <w:spacing w:before="0" w:after="0" w:line="420" w:lineRule="exact"/>
        <w:textAlignment w:val="auto"/>
        <w:rPr>
          <w:rFonts w:hint="eastAsia" w:ascii="仿宋" w:hAnsi="仿宋" w:eastAsia="仿宋" w:cs="仿宋"/>
          <w:sz w:val="24"/>
          <w:szCs w:val="24"/>
        </w:rPr>
      </w:pPr>
      <w:r>
        <w:rPr>
          <w:rFonts w:hint="eastAsia" w:ascii="仿宋" w:hAnsi="仿宋" w:eastAsia="仿宋" w:cs="仿宋"/>
          <w:sz w:val="24"/>
          <w:szCs w:val="24"/>
        </w:rPr>
        <w:t>五、招标文件的获取与报名方式</w:t>
      </w:r>
    </w:p>
    <w:p>
      <w:pPr>
        <w:pStyle w:val="6"/>
        <w:pageBreakBefore w:val="0"/>
        <w:kinsoku/>
        <w:wordWrap/>
        <w:overflowPunct/>
        <w:topLinePunct w:val="0"/>
        <w:autoSpaceDE/>
        <w:autoSpaceDN/>
        <w:bidi w:val="0"/>
        <w:adjustRightInd/>
        <w:spacing w:after="0" w:line="420" w:lineRule="exact"/>
        <w:ind w:firstLine="480" w:firstLineChars="200"/>
        <w:jc w:val="both"/>
        <w:textAlignment w:val="auto"/>
        <w:rPr>
          <w:rFonts w:hint="eastAsia" w:ascii="仿宋" w:hAnsi="仿宋" w:eastAsia="仿宋" w:cs="仿宋"/>
          <w:lang w:eastAsia="zh-CN"/>
        </w:rPr>
      </w:pPr>
      <w:r>
        <w:rPr>
          <w:rFonts w:hint="eastAsia" w:ascii="仿宋" w:hAnsi="仿宋" w:eastAsia="仿宋" w:cs="仿宋"/>
          <w:lang w:val="en-US" w:eastAsia="zh-CN"/>
        </w:rPr>
        <w:t>1、</w:t>
      </w:r>
      <w:r>
        <w:rPr>
          <w:rFonts w:hint="eastAsia" w:ascii="仿宋" w:hAnsi="仿宋" w:eastAsia="仿宋" w:cs="仿宋"/>
        </w:rPr>
        <w:t>通过我校网站（http://www.cqbz.cn）通知公告栏进行下载</w:t>
      </w:r>
      <w:r>
        <w:rPr>
          <w:rFonts w:hint="eastAsia" w:ascii="仿宋" w:hAnsi="仿宋" w:eastAsia="仿宋" w:cs="仿宋"/>
          <w:lang w:eastAsia="zh-CN"/>
        </w:rPr>
        <w:t>；</w:t>
      </w:r>
    </w:p>
    <w:p>
      <w:pPr>
        <w:pStyle w:val="6"/>
        <w:pageBreakBefore w:val="0"/>
        <w:kinsoku/>
        <w:wordWrap/>
        <w:overflowPunct/>
        <w:topLinePunct w:val="0"/>
        <w:autoSpaceDE/>
        <w:autoSpaceDN/>
        <w:bidi w:val="0"/>
        <w:adjustRightInd/>
        <w:spacing w:after="0" w:line="420" w:lineRule="exact"/>
        <w:ind w:firstLine="480" w:firstLineChars="200"/>
        <w:jc w:val="both"/>
        <w:textAlignment w:val="auto"/>
        <w:rPr>
          <w:rFonts w:hint="default" w:ascii="仿宋" w:hAnsi="仿宋" w:eastAsia="仿宋" w:cs="仿宋"/>
          <w:lang w:val="en-US" w:eastAsia="zh-CN"/>
        </w:rPr>
      </w:pPr>
      <w:r>
        <w:rPr>
          <w:rFonts w:hint="eastAsia" w:ascii="仿宋" w:hAnsi="仿宋" w:eastAsia="仿宋" w:cs="仿宋"/>
          <w:lang w:val="en-US" w:eastAsia="zh-CN"/>
        </w:rPr>
        <w:t>2、报名方式：投标人须在公告发布之日起至投标截止之日止持有效证件报名，详见“八、投标时间、地点、联系人 ”，投标人未按时报名将被取消投标资格（投标人需自行组织查勘现场）。</w:t>
      </w:r>
    </w:p>
    <w:p>
      <w:pPr>
        <w:pStyle w:val="3"/>
        <w:pageBreakBefore w:val="0"/>
        <w:kinsoku/>
        <w:wordWrap/>
        <w:overflowPunct/>
        <w:topLinePunct w:val="0"/>
        <w:autoSpaceDE/>
        <w:autoSpaceDN/>
        <w:bidi w:val="0"/>
        <w:adjustRightInd/>
        <w:spacing w:before="0" w:after="0" w:line="42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六、投标书递交 </w:t>
      </w:r>
    </w:p>
    <w:p>
      <w:pPr>
        <w:pStyle w:val="6"/>
        <w:pageBreakBefore w:val="0"/>
        <w:kinsoku/>
        <w:wordWrap/>
        <w:overflowPunct/>
        <w:topLinePunct w:val="0"/>
        <w:autoSpaceDE/>
        <w:autoSpaceDN/>
        <w:bidi w:val="0"/>
        <w:adjustRightInd/>
        <w:spacing w:after="0" w:line="420" w:lineRule="exact"/>
        <w:ind w:firstLine="480" w:firstLineChars="200"/>
        <w:textAlignment w:val="auto"/>
        <w:rPr>
          <w:rFonts w:hint="eastAsia" w:ascii="仿宋" w:hAnsi="仿宋" w:eastAsia="仿宋" w:cs="仿宋"/>
        </w:rPr>
      </w:pPr>
      <w:r>
        <w:rPr>
          <w:rFonts w:hint="eastAsia" w:ascii="仿宋" w:hAnsi="仿宋" w:eastAsia="仿宋" w:cs="仿宋"/>
        </w:rPr>
        <w:t>1、各投标人应认真阅读各项技术要求，认真测算后进行报价。所报价格含产品制造成本、运输、安装、税费和维保等全部费用。对我校采购物资除填写投标报价单外必须拟定售后服务方案。本工程为交钥匙工程，包括所有设备的运输、安装、调试及相关耗材，质保期至少</w:t>
      </w:r>
      <w:r>
        <w:rPr>
          <w:rFonts w:hint="eastAsia" w:ascii="仿宋" w:hAnsi="仿宋" w:eastAsia="仿宋" w:cs="仿宋"/>
          <w:b/>
          <w:bCs/>
        </w:rPr>
        <w:t>3</w:t>
      </w:r>
      <w:r>
        <w:rPr>
          <w:rFonts w:hint="eastAsia" w:ascii="仿宋" w:hAnsi="仿宋" w:eastAsia="仿宋" w:cs="仿宋"/>
        </w:rPr>
        <w:t>年。</w:t>
      </w:r>
    </w:p>
    <w:p>
      <w:pPr>
        <w:pStyle w:val="6"/>
        <w:pageBreakBefore w:val="0"/>
        <w:widowControl w:val="0"/>
        <w:kinsoku/>
        <w:wordWrap/>
        <w:overflowPunct/>
        <w:topLinePunct w:val="0"/>
        <w:autoSpaceDE/>
        <w:autoSpaceDN/>
        <w:bidi w:val="0"/>
        <w:adjustRightInd/>
        <w:spacing w:after="0" w:line="420" w:lineRule="exact"/>
        <w:ind w:firstLine="480" w:firstLineChars="200"/>
        <w:jc w:val="both"/>
        <w:textAlignment w:val="auto"/>
        <w:rPr>
          <w:rFonts w:hint="eastAsia" w:ascii="仿宋" w:hAnsi="仿宋" w:eastAsia="仿宋" w:cs="仿宋"/>
        </w:rPr>
      </w:pPr>
      <w:r>
        <w:rPr>
          <w:rFonts w:hint="eastAsia" w:ascii="仿宋" w:hAnsi="仿宋" w:eastAsia="仿宋" w:cs="仿宋"/>
        </w:rPr>
        <w:t xml:space="preserve">2、投标文件应用文件袋密封，封袋接口处均应贴封条，并加盖单位公章。同时应在封袋上写明投标单位名称。 </w:t>
      </w:r>
    </w:p>
    <w:p>
      <w:pPr>
        <w:pStyle w:val="6"/>
        <w:pageBreakBefore w:val="0"/>
        <w:widowControl w:val="0"/>
        <w:kinsoku/>
        <w:wordWrap/>
        <w:overflowPunct/>
        <w:topLinePunct w:val="0"/>
        <w:autoSpaceDE/>
        <w:autoSpaceDN/>
        <w:bidi w:val="0"/>
        <w:adjustRightInd/>
        <w:spacing w:after="0" w:line="420" w:lineRule="exact"/>
        <w:ind w:firstLine="480" w:firstLineChars="200"/>
        <w:jc w:val="both"/>
        <w:textAlignment w:val="auto"/>
        <w:rPr>
          <w:rFonts w:hint="eastAsia" w:ascii="仿宋" w:hAnsi="仿宋" w:eastAsia="仿宋" w:cs="仿宋"/>
        </w:rPr>
      </w:pPr>
      <w:r>
        <w:rPr>
          <w:rFonts w:hint="eastAsia" w:ascii="仿宋" w:hAnsi="仿宋" w:eastAsia="仿宋" w:cs="仿宋"/>
        </w:rPr>
        <w:t xml:space="preserve">3、投标人应在投标截止时间内将投标文件送达发标方指定地点，过时送达拒收。 </w:t>
      </w:r>
    </w:p>
    <w:p>
      <w:pPr>
        <w:pStyle w:val="3"/>
        <w:pageBreakBefore w:val="0"/>
        <w:kinsoku/>
        <w:wordWrap/>
        <w:overflowPunct/>
        <w:topLinePunct w:val="0"/>
        <w:autoSpaceDE/>
        <w:autoSpaceDN/>
        <w:bidi w:val="0"/>
        <w:adjustRightInd/>
        <w:spacing w:before="0" w:after="0" w:line="420" w:lineRule="exact"/>
        <w:textAlignment w:val="auto"/>
        <w:rPr>
          <w:rFonts w:hint="eastAsia" w:ascii="仿宋" w:hAnsi="仿宋" w:eastAsia="仿宋" w:cs="仿宋"/>
          <w:sz w:val="24"/>
          <w:szCs w:val="24"/>
        </w:rPr>
      </w:pPr>
      <w:r>
        <w:rPr>
          <w:rFonts w:hint="eastAsia" w:ascii="仿宋" w:hAnsi="仿宋" w:eastAsia="仿宋" w:cs="仿宋"/>
          <w:sz w:val="24"/>
          <w:szCs w:val="24"/>
        </w:rPr>
        <w:t>七、评标办法</w:t>
      </w:r>
    </w:p>
    <w:p>
      <w:pPr>
        <w:pStyle w:val="6"/>
        <w:pageBreakBefore w:val="0"/>
        <w:widowControl w:val="0"/>
        <w:kinsoku/>
        <w:wordWrap/>
        <w:overflowPunct/>
        <w:topLinePunct w:val="0"/>
        <w:autoSpaceDE/>
        <w:autoSpaceDN/>
        <w:bidi w:val="0"/>
        <w:adjustRightInd/>
        <w:spacing w:after="0" w:line="420" w:lineRule="exact"/>
        <w:ind w:firstLine="480" w:firstLineChars="200"/>
        <w:jc w:val="both"/>
        <w:textAlignment w:val="auto"/>
        <w:rPr>
          <w:rFonts w:hint="eastAsia" w:ascii="仿宋" w:hAnsi="仿宋" w:eastAsia="仿宋" w:cs="仿宋"/>
        </w:rPr>
      </w:pPr>
      <w:r>
        <w:rPr>
          <w:rFonts w:hint="eastAsia" w:ascii="仿宋" w:hAnsi="仿宋" w:eastAsia="仿宋" w:cs="仿宋"/>
        </w:rPr>
        <w:t xml:space="preserve">学校招标领导小组根据投标单位的投标报价、服务承诺情况、所投产品性能参数的响应情况等因素，确定中标单位。 </w:t>
      </w:r>
    </w:p>
    <w:p>
      <w:pPr>
        <w:pStyle w:val="3"/>
        <w:pageBreakBefore w:val="0"/>
        <w:kinsoku/>
        <w:wordWrap/>
        <w:overflowPunct/>
        <w:topLinePunct w:val="0"/>
        <w:autoSpaceDE/>
        <w:autoSpaceDN/>
        <w:bidi w:val="0"/>
        <w:adjustRightInd/>
        <w:spacing w:before="0" w:after="0" w:line="420" w:lineRule="exact"/>
        <w:textAlignment w:val="auto"/>
        <w:rPr>
          <w:rFonts w:hint="eastAsia" w:ascii="仿宋" w:hAnsi="仿宋" w:eastAsia="仿宋" w:cs="仿宋"/>
          <w:sz w:val="24"/>
          <w:szCs w:val="24"/>
        </w:rPr>
      </w:pPr>
      <w:r>
        <w:rPr>
          <w:rFonts w:hint="eastAsia" w:ascii="仿宋" w:hAnsi="仿宋" w:eastAsia="仿宋" w:cs="仿宋"/>
          <w:sz w:val="24"/>
          <w:szCs w:val="24"/>
        </w:rPr>
        <w:t>八、投标时间和投标地点</w:t>
      </w:r>
    </w:p>
    <w:p>
      <w:pPr>
        <w:pStyle w:val="6"/>
        <w:pageBreakBefore w:val="0"/>
        <w:kinsoku/>
        <w:wordWrap/>
        <w:overflowPunct/>
        <w:topLinePunct w:val="0"/>
        <w:autoSpaceDE/>
        <w:autoSpaceDN/>
        <w:bidi w:val="0"/>
        <w:adjustRightInd/>
        <w:spacing w:after="0" w:line="420" w:lineRule="exact"/>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投标时间：</w:t>
      </w:r>
      <w:r>
        <w:rPr>
          <w:rFonts w:hint="eastAsia" w:ascii="仿宋" w:hAnsi="仿宋" w:eastAsia="仿宋" w:cs="仿宋"/>
          <w:color w:val="auto"/>
          <w:szCs w:val="21"/>
        </w:rPr>
        <w:t>20</w:t>
      </w:r>
      <w:r>
        <w:rPr>
          <w:rFonts w:hint="eastAsia" w:ascii="仿宋" w:hAnsi="仿宋" w:eastAsia="仿宋" w:cs="仿宋"/>
          <w:color w:val="auto"/>
          <w:szCs w:val="21"/>
          <w:lang w:val="en-US" w:eastAsia="zh-CN"/>
        </w:rPr>
        <w:t>20</w:t>
      </w:r>
      <w:r>
        <w:rPr>
          <w:rFonts w:hint="eastAsia" w:ascii="仿宋" w:hAnsi="仿宋" w:eastAsia="仿宋" w:cs="仿宋"/>
          <w:color w:val="auto"/>
          <w:szCs w:val="21"/>
        </w:rPr>
        <w:t>年</w:t>
      </w:r>
      <w:r>
        <w:rPr>
          <w:rFonts w:hint="eastAsia" w:ascii="仿宋" w:hAnsi="仿宋" w:eastAsia="仿宋" w:cs="仿宋"/>
          <w:color w:val="auto"/>
          <w:szCs w:val="21"/>
          <w:lang w:val="en-US" w:eastAsia="zh-CN"/>
        </w:rPr>
        <w:t>11</w:t>
      </w:r>
      <w:r>
        <w:rPr>
          <w:rFonts w:hint="eastAsia" w:ascii="仿宋" w:hAnsi="仿宋" w:eastAsia="仿宋" w:cs="仿宋"/>
          <w:color w:val="auto"/>
          <w:szCs w:val="21"/>
        </w:rPr>
        <w:t>月</w:t>
      </w:r>
      <w:r>
        <w:rPr>
          <w:rFonts w:hint="eastAsia" w:ascii="仿宋" w:hAnsi="仿宋" w:eastAsia="仿宋" w:cs="仿宋"/>
          <w:color w:val="auto"/>
          <w:szCs w:val="21"/>
          <w:lang w:val="en-US" w:eastAsia="zh-CN"/>
        </w:rPr>
        <w:t>02</w:t>
      </w:r>
      <w:r>
        <w:rPr>
          <w:rFonts w:hint="eastAsia" w:ascii="仿宋" w:hAnsi="仿宋" w:eastAsia="仿宋" w:cs="仿宋"/>
          <w:color w:val="auto"/>
          <w:szCs w:val="21"/>
        </w:rPr>
        <w:t>日14:30~16:00（北京时间）</w:t>
      </w:r>
    </w:p>
    <w:p>
      <w:pPr>
        <w:pageBreakBefore w:val="0"/>
        <w:kinsoku/>
        <w:wordWrap/>
        <w:overflowPunct/>
        <w:topLinePunct w:val="0"/>
        <w:autoSpaceDE/>
        <w:autoSpaceDN/>
        <w:bidi w:val="0"/>
        <w:adjustRightInd/>
        <w:spacing w:line="420" w:lineRule="exact"/>
        <w:ind w:firstLine="480" w:firstLineChars="200"/>
        <w:textAlignment w:val="auto"/>
        <w:rPr>
          <w:rFonts w:hint="eastAsia" w:ascii="仿宋" w:hAnsi="仿宋" w:eastAsia="仿宋" w:cs="仿宋"/>
          <w:color w:val="auto"/>
          <w:lang w:eastAsia="zh-CN"/>
        </w:rPr>
      </w:pPr>
      <w:r>
        <w:rPr>
          <w:rFonts w:hint="eastAsia" w:ascii="仿宋" w:hAnsi="仿宋" w:eastAsia="仿宋" w:cs="仿宋"/>
          <w:color w:val="auto"/>
          <w:sz w:val="24"/>
          <w:szCs w:val="24"/>
        </w:rPr>
        <w:t>投标地点：</w:t>
      </w:r>
      <w:r>
        <w:rPr>
          <w:rFonts w:hint="eastAsia" w:ascii="仿宋" w:hAnsi="仿宋" w:eastAsia="仿宋" w:cs="仿宋"/>
          <w:color w:val="auto"/>
          <w:kern w:val="0"/>
          <w:sz w:val="24"/>
          <w:szCs w:val="21"/>
        </w:rPr>
        <w:t>重庆市第八中学校</w:t>
      </w:r>
    </w:p>
    <w:p>
      <w:pPr>
        <w:pStyle w:val="6"/>
        <w:pageBreakBefore w:val="0"/>
        <w:kinsoku/>
        <w:wordWrap/>
        <w:overflowPunct/>
        <w:topLinePunct w:val="0"/>
        <w:autoSpaceDE/>
        <w:autoSpaceDN/>
        <w:bidi w:val="0"/>
        <w:adjustRightInd/>
        <w:spacing w:after="0" w:line="420" w:lineRule="exact"/>
        <w:ind w:firstLine="480" w:firstLineChars="200"/>
        <w:jc w:val="both"/>
        <w:textAlignment w:val="auto"/>
        <w:rPr>
          <w:rFonts w:hint="eastAsia" w:ascii="仿宋" w:hAnsi="仿宋" w:eastAsia="仿宋" w:cs="仿宋"/>
        </w:rPr>
      </w:pPr>
      <w:r>
        <w:rPr>
          <w:rFonts w:hint="eastAsia" w:ascii="仿宋" w:hAnsi="仿宋" w:eastAsia="仿宋" w:cs="仿宋"/>
        </w:rPr>
        <w:t>联系人：</w:t>
      </w:r>
      <w:r>
        <w:rPr>
          <w:rFonts w:hint="eastAsia" w:ascii="仿宋" w:hAnsi="仿宋" w:eastAsia="仿宋" w:cs="仿宋"/>
          <w:lang w:eastAsia="zh-CN"/>
        </w:rPr>
        <w:t>谢</w:t>
      </w:r>
      <w:r>
        <w:rPr>
          <w:rFonts w:hint="eastAsia" w:ascii="仿宋" w:hAnsi="仿宋" w:eastAsia="仿宋" w:cs="仿宋"/>
        </w:rPr>
        <w:t>老师</w:t>
      </w:r>
    </w:p>
    <w:p>
      <w:pPr>
        <w:pStyle w:val="6"/>
        <w:pageBreakBefore w:val="0"/>
        <w:kinsoku/>
        <w:wordWrap/>
        <w:overflowPunct/>
        <w:topLinePunct w:val="0"/>
        <w:autoSpaceDE/>
        <w:autoSpaceDN/>
        <w:bidi w:val="0"/>
        <w:adjustRightInd/>
        <w:spacing w:after="0" w:line="420" w:lineRule="exact"/>
        <w:ind w:firstLine="480" w:firstLineChars="200"/>
        <w:jc w:val="both"/>
        <w:textAlignment w:val="auto"/>
        <w:rPr>
          <w:rFonts w:hint="eastAsia" w:ascii="仿宋" w:hAnsi="仿宋" w:eastAsia="仿宋" w:cs="仿宋"/>
          <w:lang w:val="en-US" w:eastAsia="zh-CN"/>
        </w:rPr>
      </w:pPr>
      <w:r>
        <w:rPr>
          <w:rFonts w:hint="eastAsia" w:ascii="仿宋" w:hAnsi="仿宋" w:eastAsia="仿宋" w:cs="仿宋"/>
        </w:rPr>
        <w:t>联系电话：023-6</w:t>
      </w:r>
      <w:r>
        <w:rPr>
          <w:rFonts w:hint="eastAsia" w:ascii="仿宋" w:hAnsi="仿宋" w:eastAsia="仿宋" w:cs="仿宋"/>
          <w:lang w:val="en-US" w:eastAsia="zh-CN"/>
        </w:rPr>
        <w:t>5013045</w:t>
      </w:r>
    </w:p>
    <w:p>
      <w:pPr>
        <w:pStyle w:val="3"/>
        <w:pageBreakBefore w:val="0"/>
        <w:kinsoku/>
        <w:wordWrap/>
        <w:overflowPunct/>
        <w:topLinePunct w:val="0"/>
        <w:autoSpaceDE/>
        <w:autoSpaceDN/>
        <w:bidi w:val="0"/>
        <w:adjustRightInd/>
        <w:spacing w:before="0" w:after="0" w:line="420" w:lineRule="exact"/>
        <w:textAlignment w:val="auto"/>
        <w:rPr>
          <w:rFonts w:hint="eastAsia" w:ascii="仿宋" w:hAnsi="仿宋" w:eastAsia="仿宋" w:cs="仿宋"/>
          <w:sz w:val="24"/>
          <w:szCs w:val="24"/>
        </w:rPr>
      </w:pPr>
      <w:r>
        <w:rPr>
          <w:rFonts w:hint="eastAsia" w:ascii="仿宋" w:hAnsi="仿宋" w:eastAsia="仿宋" w:cs="仿宋"/>
          <w:sz w:val="24"/>
          <w:szCs w:val="24"/>
        </w:rPr>
        <w:t>九、付款方式：</w:t>
      </w:r>
    </w:p>
    <w:p>
      <w:pPr>
        <w:pStyle w:val="6"/>
        <w:pageBreakBefore w:val="0"/>
        <w:kinsoku/>
        <w:wordWrap/>
        <w:overflowPunct/>
        <w:topLinePunct w:val="0"/>
        <w:autoSpaceDE/>
        <w:autoSpaceDN/>
        <w:bidi w:val="0"/>
        <w:adjustRightInd/>
        <w:spacing w:after="0" w:line="420" w:lineRule="exact"/>
        <w:ind w:firstLine="480" w:firstLineChars="200"/>
        <w:jc w:val="both"/>
        <w:textAlignment w:val="auto"/>
        <w:rPr>
          <w:rFonts w:hint="eastAsia" w:ascii="仿宋" w:hAnsi="仿宋" w:eastAsia="仿宋" w:cs="仿宋"/>
        </w:rPr>
      </w:pPr>
      <w:r>
        <w:rPr>
          <w:rFonts w:hint="eastAsia" w:ascii="仿宋" w:hAnsi="仿宋" w:eastAsia="仿宋" w:cs="仿宋"/>
        </w:rPr>
        <w:t xml:space="preserve">施工验收合格后，供货方开具正式发票，校方将按双方合同约定付款； </w:t>
      </w:r>
    </w:p>
    <w:p>
      <w:pPr>
        <w:pStyle w:val="3"/>
        <w:pageBreakBefore w:val="0"/>
        <w:kinsoku/>
        <w:wordWrap/>
        <w:overflowPunct/>
        <w:topLinePunct w:val="0"/>
        <w:autoSpaceDE/>
        <w:autoSpaceDN/>
        <w:bidi w:val="0"/>
        <w:adjustRightInd/>
        <w:spacing w:before="0" w:after="0" w:line="420" w:lineRule="exact"/>
        <w:textAlignment w:val="auto"/>
        <w:rPr>
          <w:rFonts w:hint="eastAsia" w:ascii="仿宋" w:hAnsi="仿宋" w:eastAsia="仿宋" w:cs="仿宋"/>
          <w:sz w:val="24"/>
          <w:szCs w:val="24"/>
        </w:rPr>
      </w:pPr>
      <w:r>
        <w:rPr>
          <w:rFonts w:hint="eastAsia" w:ascii="仿宋" w:hAnsi="仿宋" w:eastAsia="仿宋" w:cs="仿宋"/>
          <w:sz w:val="24"/>
          <w:szCs w:val="24"/>
        </w:rPr>
        <w:t>十、投标文件的编制内容及格式</w:t>
      </w:r>
    </w:p>
    <w:p>
      <w:pPr>
        <w:pStyle w:val="6"/>
        <w:pageBreakBefore w:val="0"/>
        <w:kinsoku/>
        <w:wordWrap/>
        <w:overflowPunct/>
        <w:topLinePunct w:val="0"/>
        <w:autoSpaceDE/>
        <w:autoSpaceDN/>
        <w:bidi w:val="0"/>
        <w:adjustRightInd/>
        <w:spacing w:after="0" w:line="420" w:lineRule="exact"/>
        <w:jc w:val="both"/>
        <w:textAlignment w:val="auto"/>
        <w:rPr>
          <w:rFonts w:hint="eastAsia" w:ascii="仿宋" w:hAnsi="仿宋" w:eastAsia="仿宋" w:cs="仿宋"/>
        </w:rPr>
      </w:pPr>
      <w:r>
        <w:rPr>
          <w:rFonts w:hint="eastAsia" w:ascii="仿宋" w:hAnsi="仿宋" w:eastAsia="仿宋" w:cs="仿宋"/>
        </w:rPr>
        <w:t>（一）投标文件编制内容</w:t>
      </w:r>
    </w:p>
    <w:p>
      <w:pPr>
        <w:pageBreakBefore w:val="0"/>
        <w:kinsoku/>
        <w:wordWrap/>
        <w:overflowPunct/>
        <w:topLinePunct w:val="0"/>
        <w:autoSpaceDE/>
        <w:autoSpaceDN/>
        <w:bidi w:val="0"/>
        <w:adjustRightInd/>
        <w:snapToGrid w:val="0"/>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1、报价明细表（附格式）。</w:t>
      </w:r>
    </w:p>
    <w:p>
      <w:pPr>
        <w:pageBreakBefore w:val="0"/>
        <w:kinsoku/>
        <w:wordWrap/>
        <w:overflowPunct/>
        <w:topLinePunct w:val="0"/>
        <w:autoSpaceDE/>
        <w:autoSpaceDN/>
        <w:bidi w:val="0"/>
        <w:adjustRightInd/>
        <w:snapToGrid w:val="0"/>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2、有效的营业执照副本复印件、有效的税务登记证副本复印件、有效的组织机构代码证复印件；（原件备查）</w:t>
      </w:r>
    </w:p>
    <w:p>
      <w:pPr>
        <w:pageBreakBefore w:val="0"/>
        <w:kinsoku/>
        <w:wordWrap/>
        <w:overflowPunct/>
        <w:topLinePunct w:val="0"/>
        <w:autoSpaceDE/>
        <w:autoSpaceDN/>
        <w:bidi w:val="0"/>
        <w:adjustRightInd/>
        <w:snapToGrid w:val="0"/>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3、法定代表人身份证明书（附格式）；</w:t>
      </w:r>
    </w:p>
    <w:p>
      <w:pPr>
        <w:pageBreakBefore w:val="0"/>
        <w:kinsoku/>
        <w:wordWrap/>
        <w:overflowPunct/>
        <w:topLinePunct w:val="0"/>
        <w:autoSpaceDE/>
        <w:autoSpaceDN/>
        <w:bidi w:val="0"/>
        <w:adjustRightInd/>
        <w:snapToGrid w:val="0"/>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4、法定代表人授权委托书（附格式）；</w:t>
      </w:r>
    </w:p>
    <w:p>
      <w:pPr>
        <w:pageBreakBefore w:val="0"/>
        <w:kinsoku/>
        <w:wordWrap/>
        <w:overflowPunct/>
        <w:topLinePunct w:val="0"/>
        <w:autoSpaceDE/>
        <w:autoSpaceDN/>
        <w:bidi w:val="0"/>
        <w:adjustRightInd/>
        <w:snapToGrid w:val="0"/>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5、诚信声明（附格式）；</w:t>
      </w:r>
    </w:p>
    <w:p>
      <w:pPr>
        <w:pageBreakBefore w:val="0"/>
        <w:kinsoku/>
        <w:wordWrap/>
        <w:overflowPunct/>
        <w:topLinePunct w:val="0"/>
        <w:autoSpaceDE/>
        <w:autoSpaceDN/>
        <w:bidi w:val="0"/>
        <w:adjustRightInd/>
        <w:snapToGrid w:val="0"/>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6、投标函（附格式）；</w:t>
      </w:r>
    </w:p>
    <w:p>
      <w:pPr>
        <w:pageBreakBefore w:val="0"/>
        <w:kinsoku/>
        <w:wordWrap/>
        <w:overflowPunct/>
        <w:topLinePunct w:val="0"/>
        <w:autoSpaceDE/>
        <w:autoSpaceDN/>
        <w:bidi w:val="0"/>
        <w:adjustRightInd/>
        <w:snapToGrid w:val="0"/>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7、售后服务方案（格式自拟）。</w:t>
      </w:r>
    </w:p>
    <w:p>
      <w:pPr>
        <w:snapToGrid w:val="0"/>
        <w:spacing w:line="440" w:lineRule="exact"/>
        <w:ind w:firstLine="480" w:firstLineChars="200"/>
        <w:rPr>
          <w:rFonts w:hint="eastAsia" w:ascii="仿宋" w:hAnsi="仿宋" w:eastAsia="仿宋" w:cs="仿宋"/>
          <w:sz w:val="24"/>
          <w:szCs w:val="24"/>
        </w:rPr>
      </w:pPr>
    </w:p>
    <w:p>
      <w:pPr>
        <w:widowControl/>
        <w:jc w:val="left"/>
        <w:rPr>
          <w:rFonts w:hint="eastAsia" w:ascii="仿宋" w:hAnsi="仿宋" w:eastAsia="仿宋" w:cs="仿宋"/>
          <w:sz w:val="24"/>
          <w:szCs w:val="24"/>
        </w:rPr>
      </w:pPr>
      <w:bookmarkStart w:id="0" w:name="_Toc161727399"/>
      <w:r>
        <w:rPr>
          <w:rFonts w:hint="eastAsia" w:ascii="仿宋" w:hAnsi="仿宋" w:eastAsia="仿宋" w:cs="仿宋"/>
          <w:sz w:val="24"/>
          <w:szCs w:val="24"/>
        </w:rPr>
        <w:br w:type="page"/>
      </w: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（二）投标文件格式</w:t>
      </w:r>
    </w:p>
    <w:p>
      <w:pPr>
        <w:snapToGrid w:val="0"/>
        <w:spacing w:line="500" w:lineRule="exact"/>
        <w:jc w:val="center"/>
        <w:rPr>
          <w:rFonts w:hint="eastAsia" w:ascii="仿宋" w:hAnsi="仿宋" w:eastAsia="仿宋" w:cs="仿宋"/>
          <w:sz w:val="24"/>
          <w:szCs w:val="24"/>
        </w:rPr>
      </w:pPr>
      <w:r>
        <w:rPr>
          <w:rFonts w:hint="eastAsia" w:ascii="仿宋" w:hAnsi="仿宋" w:eastAsia="仿宋" w:cs="仿宋"/>
          <w:sz w:val="24"/>
          <w:szCs w:val="24"/>
        </w:rPr>
        <w:t>1、分项报价明细表</w:t>
      </w:r>
      <w:bookmarkEnd w:id="0"/>
      <w:r>
        <w:rPr>
          <w:rFonts w:hint="eastAsia" w:ascii="仿宋" w:hAnsi="仿宋" w:eastAsia="仿宋" w:cs="仿宋"/>
          <w:sz w:val="24"/>
          <w:szCs w:val="24"/>
        </w:rPr>
        <w:t>（格式）</w:t>
      </w:r>
    </w:p>
    <w:p>
      <w:pPr>
        <w:spacing w:line="500" w:lineRule="exact"/>
        <w:rPr>
          <w:rFonts w:hint="eastAsia" w:ascii="仿宋" w:hAnsi="仿宋" w:eastAsia="仿宋" w:cs="仿宋"/>
          <w:sz w:val="24"/>
          <w:szCs w:val="24"/>
        </w:rPr>
      </w:pPr>
      <w:r>
        <w:rPr>
          <w:rFonts w:hint="eastAsia" w:ascii="仿宋" w:hAnsi="仿宋" w:eastAsia="仿宋" w:cs="仿宋"/>
          <w:sz w:val="24"/>
          <w:szCs w:val="24"/>
        </w:rPr>
        <w:t>采购项目名称：</w:t>
      </w:r>
    </w:p>
    <w:tbl>
      <w:tblPr>
        <w:tblStyle w:val="7"/>
        <w:tblW w:w="8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249"/>
        <w:gridCol w:w="4157"/>
        <w:gridCol w:w="780"/>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exact"/>
          <w:jc w:val="center"/>
        </w:trPr>
        <w:tc>
          <w:tcPr>
            <w:tcW w:w="609" w:type="dxa"/>
            <w:vAlign w:val="center"/>
          </w:tcPr>
          <w:p>
            <w:pPr>
              <w:spacing w:line="240" w:lineRule="exact"/>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249" w:type="dxa"/>
            <w:vAlign w:val="center"/>
          </w:tcPr>
          <w:p>
            <w:pPr>
              <w:spacing w:line="240" w:lineRule="exact"/>
              <w:jc w:val="center"/>
              <w:rPr>
                <w:rFonts w:hint="eastAsia" w:ascii="仿宋" w:hAnsi="仿宋" w:eastAsia="仿宋" w:cs="仿宋"/>
                <w:b/>
                <w:sz w:val="24"/>
                <w:szCs w:val="24"/>
              </w:rPr>
            </w:pPr>
            <w:r>
              <w:rPr>
                <w:rFonts w:hint="eastAsia" w:ascii="仿宋" w:hAnsi="仿宋" w:eastAsia="仿宋" w:cs="仿宋"/>
                <w:b/>
                <w:sz w:val="24"/>
                <w:szCs w:val="24"/>
              </w:rPr>
              <w:t>名称</w:t>
            </w:r>
          </w:p>
        </w:tc>
        <w:tc>
          <w:tcPr>
            <w:tcW w:w="4157" w:type="dxa"/>
            <w:vAlign w:val="center"/>
          </w:tcPr>
          <w:p>
            <w:pPr>
              <w:spacing w:line="240" w:lineRule="exact"/>
              <w:jc w:val="center"/>
              <w:rPr>
                <w:rFonts w:hint="eastAsia" w:ascii="仿宋" w:hAnsi="仿宋" w:eastAsia="仿宋" w:cs="仿宋"/>
                <w:b/>
                <w:sz w:val="24"/>
                <w:szCs w:val="24"/>
              </w:rPr>
            </w:pPr>
            <w:r>
              <w:rPr>
                <w:rFonts w:hint="eastAsia" w:ascii="仿宋" w:hAnsi="仿宋" w:eastAsia="仿宋" w:cs="仿宋"/>
                <w:b/>
                <w:sz w:val="24"/>
                <w:szCs w:val="24"/>
              </w:rPr>
              <w:t>相关信息（品牌、规格型号、制造商、产地等）</w:t>
            </w:r>
          </w:p>
        </w:tc>
        <w:tc>
          <w:tcPr>
            <w:tcW w:w="780" w:type="dxa"/>
            <w:vAlign w:val="center"/>
          </w:tcPr>
          <w:p>
            <w:pPr>
              <w:spacing w:line="240" w:lineRule="exact"/>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879" w:type="dxa"/>
            <w:vAlign w:val="center"/>
          </w:tcPr>
          <w:p>
            <w:pPr>
              <w:spacing w:line="240" w:lineRule="exact"/>
              <w:jc w:val="center"/>
              <w:rPr>
                <w:rFonts w:hint="eastAsia" w:ascii="仿宋" w:hAnsi="仿宋" w:eastAsia="仿宋" w:cs="仿宋"/>
                <w:b/>
                <w:sz w:val="24"/>
                <w:szCs w:val="24"/>
              </w:rPr>
            </w:pPr>
            <w:r>
              <w:rPr>
                <w:rFonts w:hint="eastAsia" w:ascii="仿宋" w:hAnsi="仿宋" w:eastAsia="仿宋" w:cs="仿宋"/>
                <w:b/>
                <w:sz w:val="24"/>
                <w:szCs w:val="24"/>
              </w:rPr>
              <w:t>综合单价</w:t>
            </w:r>
          </w:p>
        </w:tc>
        <w:tc>
          <w:tcPr>
            <w:tcW w:w="879" w:type="dxa"/>
            <w:vAlign w:val="center"/>
          </w:tcPr>
          <w:p>
            <w:pPr>
              <w:spacing w:line="240" w:lineRule="exact"/>
              <w:jc w:val="center"/>
              <w:rPr>
                <w:rFonts w:hint="eastAsia" w:ascii="仿宋" w:hAnsi="仿宋" w:eastAsia="仿宋" w:cs="仿宋"/>
                <w:b/>
                <w:sz w:val="24"/>
                <w:szCs w:val="24"/>
              </w:rPr>
            </w:pPr>
            <w:r>
              <w:rPr>
                <w:rFonts w:hint="eastAsia" w:ascii="仿宋" w:hAnsi="仿宋" w:eastAsia="仿宋" w:cs="仿宋"/>
                <w:b/>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sz w:val="24"/>
                <w:szCs w:val="24"/>
              </w:rPr>
            </w:pPr>
            <w:r>
              <w:rPr>
                <w:rFonts w:hint="eastAsia" w:ascii="仿宋" w:hAnsi="仿宋" w:eastAsia="仿宋" w:cs="仿宋"/>
                <w:sz w:val="24"/>
                <w:szCs w:val="24"/>
              </w:rPr>
              <w:t>1</w:t>
            </w:r>
          </w:p>
        </w:tc>
        <w:tc>
          <w:tcPr>
            <w:tcW w:w="1249" w:type="dxa"/>
          </w:tcPr>
          <w:p>
            <w:pPr>
              <w:jc w:val="center"/>
              <w:rPr>
                <w:rFonts w:hint="eastAsia" w:ascii="仿宋" w:hAnsi="仿宋" w:eastAsia="仿宋" w:cs="仿宋"/>
                <w:sz w:val="24"/>
                <w:szCs w:val="24"/>
              </w:rPr>
            </w:pPr>
          </w:p>
        </w:tc>
        <w:tc>
          <w:tcPr>
            <w:tcW w:w="4157" w:type="dxa"/>
          </w:tcPr>
          <w:p>
            <w:pPr>
              <w:jc w:val="center"/>
              <w:rPr>
                <w:rFonts w:hint="eastAsia" w:ascii="仿宋" w:hAnsi="仿宋" w:eastAsia="仿宋" w:cs="仿宋"/>
                <w:sz w:val="24"/>
                <w:szCs w:val="24"/>
              </w:rPr>
            </w:pPr>
          </w:p>
        </w:tc>
        <w:tc>
          <w:tcPr>
            <w:tcW w:w="780"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sz w:val="24"/>
                <w:szCs w:val="24"/>
              </w:rPr>
            </w:pPr>
            <w:r>
              <w:rPr>
                <w:rFonts w:hint="eastAsia" w:ascii="仿宋" w:hAnsi="仿宋" w:eastAsia="仿宋" w:cs="仿宋"/>
                <w:sz w:val="24"/>
                <w:szCs w:val="24"/>
              </w:rPr>
              <w:t>2</w:t>
            </w:r>
          </w:p>
        </w:tc>
        <w:tc>
          <w:tcPr>
            <w:tcW w:w="1249" w:type="dxa"/>
          </w:tcPr>
          <w:p>
            <w:pPr>
              <w:jc w:val="center"/>
              <w:rPr>
                <w:rFonts w:hint="eastAsia" w:ascii="仿宋" w:hAnsi="仿宋" w:eastAsia="仿宋" w:cs="仿宋"/>
                <w:sz w:val="24"/>
                <w:szCs w:val="24"/>
              </w:rPr>
            </w:pPr>
          </w:p>
        </w:tc>
        <w:tc>
          <w:tcPr>
            <w:tcW w:w="4157" w:type="dxa"/>
          </w:tcPr>
          <w:p>
            <w:pPr>
              <w:jc w:val="center"/>
              <w:rPr>
                <w:rFonts w:hint="eastAsia" w:ascii="仿宋" w:hAnsi="仿宋" w:eastAsia="仿宋" w:cs="仿宋"/>
                <w:sz w:val="24"/>
                <w:szCs w:val="24"/>
              </w:rPr>
            </w:pPr>
          </w:p>
        </w:tc>
        <w:tc>
          <w:tcPr>
            <w:tcW w:w="780"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sz w:val="24"/>
                <w:szCs w:val="24"/>
              </w:rPr>
            </w:pPr>
            <w:r>
              <w:rPr>
                <w:rFonts w:hint="eastAsia" w:ascii="仿宋" w:hAnsi="仿宋" w:eastAsia="仿宋" w:cs="仿宋"/>
                <w:sz w:val="24"/>
                <w:szCs w:val="24"/>
              </w:rPr>
              <w:t>3</w:t>
            </w:r>
          </w:p>
        </w:tc>
        <w:tc>
          <w:tcPr>
            <w:tcW w:w="1249" w:type="dxa"/>
          </w:tcPr>
          <w:p>
            <w:pPr>
              <w:jc w:val="center"/>
              <w:rPr>
                <w:rFonts w:hint="eastAsia" w:ascii="仿宋" w:hAnsi="仿宋" w:eastAsia="仿宋" w:cs="仿宋"/>
                <w:sz w:val="24"/>
                <w:szCs w:val="24"/>
              </w:rPr>
            </w:pPr>
          </w:p>
        </w:tc>
        <w:tc>
          <w:tcPr>
            <w:tcW w:w="4157" w:type="dxa"/>
          </w:tcPr>
          <w:p>
            <w:pPr>
              <w:jc w:val="center"/>
              <w:rPr>
                <w:rFonts w:hint="eastAsia" w:ascii="仿宋" w:hAnsi="仿宋" w:eastAsia="仿宋" w:cs="仿宋"/>
                <w:sz w:val="24"/>
                <w:szCs w:val="24"/>
              </w:rPr>
            </w:pPr>
          </w:p>
        </w:tc>
        <w:tc>
          <w:tcPr>
            <w:tcW w:w="780"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sz w:val="24"/>
                <w:szCs w:val="24"/>
              </w:rPr>
            </w:pPr>
            <w:r>
              <w:rPr>
                <w:rFonts w:hint="eastAsia" w:ascii="仿宋" w:hAnsi="仿宋" w:eastAsia="仿宋" w:cs="仿宋"/>
                <w:sz w:val="24"/>
                <w:szCs w:val="24"/>
              </w:rPr>
              <w:t>4</w:t>
            </w:r>
          </w:p>
        </w:tc>
        <w:tc>
          <w:tcPr>
            <w:tcW w:w="1249" w:type="dxa"/>
          </w:tcPr>
          <w:p>
            <w:pPr>
              <w:jc w:val="center"/>
              <w:rPr>
                <w:rFonts w:hint="eastAsia" w:ascii="仿宋" w:hAnsi="仿宋" w:eastAsia="仿宋" w:cs="仿宋"/>
                <w:sz w:val="24"/>
                <w:szCs w:val="24"/>
              </w:rPr>
            </w:pPr>
          </w:p>
        </w:tc>
        <w:tc>
          <w:tcPr>
            <w:tcW w:w="4157" w:type="dxa"/>
          </w:tcPr>
          <w:p>
            <w:pPr>
              <w:jc w:val="center"/>
              <w:rPr>
                <w:rFonts w:hint="eastAsia" w:ascii="仿宋" w:hAnsi="仿宋" w:eastAsia="仿宋" w:cs="仿宋"/>
                <w:sz w:val="24"/>
                <w:szCs w:val="24"/>
              </w:rPr>
            </w:pPr>
          </w:p>
        </w:tc>
        <w:tc>
          <w:tcPr>
            <w:tcW w:w="780"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sz w:val="24"/>
                <w:szCs w:val="24"/>
              </w:rPr>
            </w:pPr>
            <w:r>
              <w:rPr>
                <w:rFonts w:hint="eastAsia" w:ascii="仿宋" w:hAnsi="仿宋" w:eastAsia="仿宋" w:cs="仿宋"/>
                <w:sz w:val="24"/>
                <w:szCs w:val="24"/>
              </w:rPr>
              <w:t>5</w:t>
            </w:r>
          </w:p>
        </w:tc>
        <w:tc>
          <w:tcPr>
            <w:tcW w:w="1249" w:type="dxa"/>
          </w:tcPr>
          <w:p>
            <w:pPr>
              <w:jc w:val="center"/>
              <w:rPr>
                <w:rFonts w:hint="eastAsia" w:ascii="仿宋" w:hAnsi="仿宋" w:eastAsia="仿宋" w:cs="仿宋"/>
                <w:sz w:val="24"/>
                <w:szCs w:val="24"/>
              </w:rPr>
            </w:pPr>
          </w:p>
        </w:tc>
        <w:tc>
          <w:tcPr>
            <w:tcW w:w="4157" w:type="dxa"/>
          </w:tcPr>
          <w:p>
            <w:pPr>
              <w:jc w:val="center"/>
              <w:rPr>
                <w:rFonts w:hint="eastAsia" w:ascii="仿宋" w:hAnsi="仿宋" w:eastAsia="仿宋" w:cs="仿宋"/>
                <w:sz w:val="24"/>
                <w:szCs w:val="24"/>
              </w:rPr>
            </w:pPr>
          </w:p>
        </w:tc>
        <w:tc>
          <w:tcPr>
            <w:tcW w:w="780"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sz w:val="24"/>
                <w:szCs w:val="24"/>
              </w:rPr>
            </w:pPr>
            <w:r>
              <w:rPr>
                <w:rFonts w:hint="eastAsia" w:ascii="仿宋" w:hAnsi="仿宋" w:eastAsia="仿宋" w:cs="仿宋"/>
                <w:sz w:val="24"/>
                <w:szCs w:val="24"/>
              </w:rPr>
              <w:t>6</w:t>
            </w:r>
          </w:p>
        </w:tc>
        <w:tc>
          <w:tcPr>
            <w:tcW w:w="1249" w:type="dxa"/>
          </w:tcPr>
          <w:p>
            <w:pPr>
              <w:jc w:val="center"/>
              <w:rPr>
                <w:rFonts w:hint="eastAsia" w:ascii="仿宋" w:hAnsi="仿宋" w:eastAsia="仿宋" w:cs="仿宋"/>
                <w:sz w:val="24"/>
                <w:szCs w:val="24"/>
              </w:rPr>
            </w:pPr>
          </w:p>
        </w:tc>
        <w:tc>
          <w:tcPr>
            <w:tcW w:w="4157" w:type="dxa"/>
          </w:tcPr>
          <w:p>
            <w:pPr>
              <w:jc w:val="center"/>
              <w:rPr>
                <w:rFonts w:hint="eastAsia" w:ascii="仿宋" w:hAnsi="仿宋" w:eastAsia="仿宋" w:cs="仿宋"/>
                <w:sz w:val="24"/>
                <w:szCs w:val="24"/>
              </w:rPr>
            </w:pPr>
          </w:p>
        </w:tc>
        <w:tc>
          <w:tcPr>
            <w:tcW w:w="780"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sz w:val="24"/>
                <w:szCs w:val="24"/>
              </w:rPr>
            </w:pPr>
            <w:r>
              <w:rPr>
                <w:rFonts w:hint="eastAsia" w:ascii="仿宋" w:hAnsi="仿宋" w:eastAsia="仿宋" w:cs="仿宋"/>
                <w:sz w:val="24"/>
                <w:szCs w:val="24"/>
              </w:rPr>
              <w:t>7</w:t>
            </w:r>
          </w:p>
        </w:tc>
        <w:tc>
          <w:tcPr>
            <w:tcW w:w="1249" w:type="dxa"/>
          </w:tcPr>
          <w:p>
            <w:pPr>
              <w:jc w:val="center"/>
              <w:rPr>
                <w:rFonts w:hint="eastAsia" w:ascii="仿宋" w:hAnsi="仿宋" w:eastAsia="仿宋" w:cs="仿宋"/>
                <w:sz w:val="24"/>
                <w:szCs w:val="24"/>
              </w:rPr>
            </w:pPr>
          </w:p>
        </w:tc>
        <w:tc>
          <w:tcPr>
            <w:tcW w:w="4157" w:type="dxa"/>
          </w:tcPr>
          <w:p>
            <w:pPr>
              <w:jc w:val="center"/>
              <w:rPr>
                <w:rFonts w:hint="eastAsia" w:ascii="仿宋" w:hAnsi="仿宋" w:eastAsia="仿宋" w:cs="仿宋"/>
                <w:sz w:val="24"/>
                <w:szCs w:val="24"/>
              </w:rPr>
            </w:pPr>
          </w:p>
        </w:tc>
        <w:tc>
          <w:tcPr>
            <w:tcW w:w="780"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vAlign w:val="center"/>
          </w:tcPr>
          <w:p>
            <w:pPr>
              <w:jc w:val="center"/>
              <w:outlineLvl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12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总计</w:t>
            </w:r>
          </w:p>
        </w:tc>
        <w:tc>
          <w:tcPr>
            <w:tcW w:w="6695" w:type="dxa"/>
            <w:gridSpan w:val="4"/>
            <w:vAlign w:val="center"/>
          </w:tcPr>
          <w:p>
            <w:pPr>
              <w:jc w:val="center"/>
              <w:rPr>
                <w:rFonts w:hint="eastAsia" w:ascii="仿宋" w:hAnsi="仿宋" w:eastAsia="仿宋" w:cs="仿宋"/>
                <w:sz w:val="24"/>
                <w:szCs w:val="24"/>
              </w:rPr>
            </w:pPr>
          </w:p>
        </w:tc>
      </w:tr>
    </w:tbl>
    <w:p>
      <w:pPr>
        <w:spacing w:line="500" w:lineRule="exact"/>
        <w:ind w:firstLine="480" w:firstLineChars="200"/>
        <w:rPr>
          <w:rFonts w:hint="eastAsia" w:ascii="仿宋" w:hAnsi="仿宋" w:eastAsia="仿宋" w:cs="仿宋"/>
          <w:sz w:val="24"/>
          <w:szCs w:val="24"/>
        </w:rPr>
      </w:pPr>
    </w:p>
    <w:p>
      <w:pPr>
        <w:spacing w:line="500" w:lineRule="exact"/>
        <w:ind w:firstLine="480" w:firstLineChars="200"/>
        <w:rPr>
          <w:rFonts w:hint="eastAsia" w:ascii="仿宋" w:hAnsi="仿宋" w:eastAsia="仿宋" w:cs="仿宋"/>
          <w:sz w:val="24"/>
          <w:szCs w:val="24"/>
        </w:rPr>
      </w:pPr>
    </w:p>
    <w:p>
      <w:pPr>
        <w:spacing w:line="500" w:lineRule="exact"/>
        <w:ind w:firstLine="600" w:firstLineChars="250"/>
        <w:rPr>
          <w:rFonts w:hint="eastAsia" w:ascii="仿宋" w:hAnsi="仿宋" w:eastAsia="仿宋" w:cs="仿宋"/>
          <w:sz w:val="24"/>
          <w:szCs w:val="24"/>
        </w:rPr>
      </w:pPr>
      <w:r>
        <w:rPr>
          <w:rFonts w:hint="eastAsia" w:ascii="仿宋" w:hAnsi="仿宋" w:eastAsia="仿宋" w:cs="仿宋"/>
          <w:sz w:val="24"/>
          <w:szCs w:val="24"/>
        </w:rPr>
        <w:t>投标人：                                  法人授权代表：</w:t>
      </w:r>
    </w:p>
    <w:p>
      <w:pPr>
        <w:spacing w:line="500" w:lineRule="exact"/>
        <w:rPr>
          <w:rFonts w:hint="eastAsia" w:ascii="仿宋" w:hAnsi="仿宋" w:eastAsia="仿宋" w:cs="仿宋"/>
          <w:sz w:val="24"/>
          <w:szCs w:val="24"/>
        </w:rPr>
      </w:pP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    （投标人公章）                               （签字或盖章）</w:t>
      </w:r>
    </w:p>
    <w:p>
      <w:pPr>
        <w:spacing w:line="500" w:lineRule="exact"/>
        <w:rPr>
          <w:rFonts w:hint="eastAsia" w:ascii="仿宋" w:hAnsi="仿宋" w:eastAsia="仿宋" w:cs="仿宋"/>
          <w:sz w:val="24"/>
          <w:szCs w:val="24"/>
        </w:rPr>
      </w:pPr>
    </w:p>
    <w:p>
      <w:pPr>
        <w:spacing w:line="500" w:lineRule="exact"/>
        <w:rPr>
          <w:rFonts w:hint="eastAsia" w:ascii="仿宋" w:hAnsi="仿宋" w:eastAsia="仿宋" w:cs="仿宋"/>
          <w:sz w:val="24"/>
          <w:szCs w:val="24"/>
        </w:rPr>
      </w:pP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年     月     日</w:t>
      </w:r>
    </w:p>
    <w:p>
      <w:pPr>
        <w:spacing w:line="500" w:lineRule="exact"/>
        <w:ind w:firstLine="482" w:firstLineChars="200"/>
        <w:rPr>
          <w:rFonts w:hint="eastAsia" w:ascii="仿宋" w:hAnsi="仿宋" w:eastAsia="仿宋" w:cs="仿宋"/>
          <w:b/>
          <w:sz w:val="24"/>
          <w:szCs w:val="24"/>
        </w:rPr>
      </w:pPr>
      <w:bookmarkStart w:id="1" w:name="_Toc313883490"/>
      <w:bookmarkStart w:id="2" w:name="_Toc316479515"/>
      <w:bookmarkStart w:id="3" w:name="_Toc340223171"/>
      <w:bookmarkStart w:id="4" w:name="_Toc322965783"/>
    </w:p>
    <w:p>
      <w:pPr>
        <w:spacing w:line="500" w:lineRule="exact"/>
        <w:ind w:firstLine="482" w:firstLineChars="200"/>
        <w:rPr>
          <w:rFonts w:hint="eastAsia" w:ascii="仿宋" w:hAnsi="仿宋" w:eastAsia="仿宋" w:cs="仿宋"/>
          <w:b/>
          <w:sz w:val="24"/>
          <w:szCs w:val="24"/>
        </w:rPr>
      </w:pPr>
    </w:p>
    <w:bookmarkEnd w:id="1"/>
    <w:bookmarkEnd w:id="2"/>
    <w:bookmarkEnd w:id="3"/>
    <w:bookmarkEnd w:id="4"/>
    <w:p>
      <w:pPr>
        <w:widowControl/>
        <w:jc w:val="left"/>
        <w:rPr>
          <w:rFonts w:hint="eastAsia" w:ascii="仿宋" w:hAnsi="仿宋" w:eastAsia="仿宋" w:cs="仿宋"/>
          <w:sz w:val="24"/>
          <w:szCs w:val="24"/>
        </w:rPr>
      </w:pPr>
      <w:r>
        <w:rPr>
          <w:rFonts w:hint="eastAsia" w:ascii="仿宋" w:hAnsi="仿宋" w:eastAsia="仿宋" w:cs="仿宋"/>
          <w:sz w:val="24"/>
          <w:szCs w:val="24"/>
        </w:rPr>
        <w:br w:type="page"/>
      </w:r>
    </w:p>
    <w:p>
      <w:pPr>
        <w:widowControl/>
        <w:ind w:firstLine="480" w:firstLineChars="200"/>
        <w:jc w:val="left"/>
        <w:rPr>
          <w:rFonts w:hint="eastAsia" w:ascii="仿宋" w:hAnsi="仿宋" w:eastAsia="仿宋" w:cs="仿宋"/>
          <w:sz w:val="24"/>
          <w:szCs w:val="24"/>
        </w:rPr>
      </w:pPr>
      <w:r>
        <w:rPr>
          <w:rFonts w:hint="eastAsia" w:ascii="仿宋" w:hAnsi="仿宋" w:eastAsia="仿宋" w:cs="仿宋"/>
          <w:sz w:val="24"/>
          <w:szCs w:val="24"/>
        </w:rPr>
        <w:t>2、法定代表人身份证明书（格式）</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（法定代表人姓名）在</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（投标人名称）任</w:t>
      </w:r>
      <w:r>
        <w:rPr>
          <w:rFonts w:hint="eastAsia" w:ascii="仿宋" w:hAnsi="仿宋" w:eastAsia="仿宋" w:cs="仿宋"/>
          <w:sz w:val="24"/>
          <w:szCs w:val="24"/>
          <w:u w:val="single"/>
        </w:rPr>
        <w:t xml:space="preserve">    </w:t>
      </w:r>
      <w:r>
        <w:rPr>
          <w:rFonts w:hint="eastAsia" w:ascii="仿宋" w:hAnsi="仿宋" w:eastAsia="仿宋" w:cs="仿宋"/>
          <w:sz w:val="24"/>
          <w:szCs w:val="24"/>
        </w:rPr>
        <w:t>（职务名称）职务，是（投标人名称）</w:t>
      </w:r>
      <w:r>
        <w:rPr>
          <w:rFonts w:hint="eastAsia" w:ascii="仿宋" w:hAnsi="仿宋" w:eastAsia="仿宋" w:cs="仿宋"/>
          <w:sz w:val="24"/>
          <w:szCs w:val="24"/>
          <w:u w:val="single"/>
        </w:rPr>
        <w:t xml:space="preserve">              </w:t>
      </w:r>
      <w:r>
        <w:rPr>
          <w:rFonts w:hint="eastAsia" w:ascii="仿宋" w:hAnsi="仿宋" w:eastAsia="仿宋" w:cs="仿宋"/>
          <w:sz w:val="24"/>
          <w:szCs w:val="24"/>
        </w:rPr>
        <w:t>的法定代表人。</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特此证明。</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（投标人公章）</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年   月   日</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（附：法定代表人身份证复印件）</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br w:type="column"/>
      </w:r>
      <w:r>
        <w:rPr>
          <w:rFonts w:hint="eastAsia" w:ascii="仿宋" w:hAnsi="仿宋" w:eastAsia="仿宋" w:cs="仿宋"/>
          <w:sz w:val="24"/>
          <w:szCs w:val="24"/>
        </w:rPr>
        <w:t>3、法定代表人授权委托书（格式）</w:t>
      </w: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（投标人法定代表人名称）是</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（投标人名称）的法定代表人，特授权</w:t>
      </w:r>
      <w:r>
        <w:rPr>
          <w:rFonts w:hint="eastAsia" w:ascii="仿宋" w:hAnsi="仿宋" w:eastAsia="仿宋" w:cs="仿宋"/>
          <w:sz w:val="24"/>
          <w:szCs w:val="24"/>
          <w:u w:val="single"/>
        </w:rPr>
        <w:t xml:space="preserve">          </w:t>
      </w:r>
      <w:r>
        <w:rPr>
          <w:rFonts w:hint="eastAsia" w:ascii="仿宋" w:hAnsi="仿宋" w:eastAsia="仿宋" w:cs="仿宋"/>
          <w:sz w:val="24"/>
          <w:szCs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我单位对被授权人的签名负全部责任。</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被授权人签名：               投标人法定代表人签名：</w:t>
      </w: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（附：被授权人身份证复印件）</w:t>
      </w: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right="480" w:firstLine="570"/>
        <w:jc w:val="right"/>
        <w:rPr>
          <w:rFonts w:hint="eastAsia" w:ascii="仿宋" w:hAnsi="仿宋" w:eastAsia="仿宋" w:cs="仿宋"/>
          <w:sz w:val="24"/>
          <w:szCs w:val="24"/>
        </w:rPr>
      </w:pPr>
      <w:r>
        <w:rPr>
          <w:rFonts w:hint="eastAsia" w:ascii="仿宋" w:hAnsi="仿宋" w:eastAsia="仿宋" w:cs="仿宋"/>
          <w:sz w:val="24"/>
          <w:szCs w:val="24"/>
        </w:rPr>
        <w:t>（投标人公章）</w:t>
      </w:r>
    </w:p>
    <w:p>
      <w:pPr>
        <w:tabs>
          <w:tab w:val="left" w:pos="6300"/>
        </w:tabs>
        <w:snapToGrid w:val="0"/>
        <w:spacing w:line="500" w:lineRule="exact"/>
        <w:ind w:right="480" w:firstLine="570"/>
        <w:jc w:val="right"/>
        <w:rPr>
          <w:rFonts w:hint="eastAsia" w:ascii="仿宋" w:hAnsi="仿宋" w:eastAsia="仿宋" w:cs="仿宋"/>
          <w:sz w:val="24"/>
          <w:szCs w:val="24"/>
        </w:rPr>
      </w:pPr>
      <w:r>
        <w:rPr>
          <w:rFonts w:hint="eastAsia" w:ascii="仿宋" w:hAnsi="仿宋" w:eastAsia="仿宋" w:cs="仿宋"/>
          <w:sz w:val="24"/>
          <w:szCs w:val="24"/>
        </w:rPr>
        <w:t>年   月   日</w:t>
      </w: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br w:type="column"/>
      </w:r>
      <w:r>
        <w:rPr>
          <w:rFonts w:hint="eastAsia" w:ascii="仿宋" w:hAnsi="仿宋" w:eastAsia="仿宋" w:cs="仿宋"/>
          <w:sz w:val="24"/>
          <w:szCs w:val="24"/>
        </w:rPr>
        <w:t>4、诚信声明（格式）</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特此声明。</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right="424" w:firstLine="570"/>
        <w:jc w:val="right"/>
        <w:rPr>
          <w:rFonts w:hint="eastAsia" w:ascii="仿宋" w:hAnsi="仿宋" w:eastAsia="仿宋" w:cs="仿宋"/>
          <w:sz w:val="24"/>
          <w:szCs w:val="24"/>
        </w:rPr>
      </w:pPr>
      <w:r>
        <w:rPr>
          <w:rFonts w:hint="eastAsia" w:ascii="仿宋" w:hAnsi="仿宋" w:eastAsia="仿宋" w:cs="仿宋"/>
          <w:sz w:val="24"/>
          <w:szCs w:val="24"/>
        </w:rPr>
        <w:t>（投标人公章）</w:t>
      </w:r>
    </w:p>
    <w:p>
      <w:pPr>
        <w:tabs>
          <w:tab w:val="left" w:pos="6300"/>
        </w:tabs>
        <w:snapToGrid w:val="0"/>
        <w:spacing w:line="500" w:lineRule="exact"/>
        <w:ind w:right="480" w:firstLine="570"/>
        <w:jc w:val="right"/>
        <w:rPr>
          <w:rFonts w:hint="eastAsia" w:ascii="仿宋" w:hAnsi="仿宋" w:eastAsia="仿宋" w:cs="仿宋"/>
          <w:sz w:val="24"/>
          <w:szCs w:val="24"/>
        </w:rPr>
      </w:pPr>
      <w:r>
        <w:rPr>
          <w:rFonts w:hint="eastAsia" w:ascii="仿宋" w:hAnsi="仿宋" w:eastAsia="仿宋" w:cs="仿宋"/>
          <w:sz w:val="24"/>
          <w:szCs w:val="24"/>
        </w:rPr>
        <w:t>年   月   日</w:t>
      </w:r>
    </w:p>
    <w:p>
      <w:pPr>
        <w:tabs>
          <w:tab w:val="left" w:pos="6300"/>
        </w:tabs>
        <w:snapToGrid w:val="0"/>
        <w:spacing w:line="500" w:lineRule="exact"/>
        <w:ind w:firstLine="480" w:firstLineChars="200"/>
        <w:rPr>
          <w:rFonts w:hint="eastAsia" w:ascii="仿宋" w:hAnsi="仿宋" w:eastAsia="仿宋" w:cs="仿宋"/>
          <w:b/>
          <w:sz w:val="24"/>
          <w:szCs w:val="24"/>
        </w:rPr>
      </w:pPr>
      <w:r>
        <w:rPr>
          <w:rFonts w:hint="eastAsia" w:ascii="仿宋" w:hAnsi="仿宋" w:eastAsia="仿宋" w:cs="仿宋"/>
          <w:sz w:val="24"/>
          <w:szCs w:val="24"/>
        </w:rPr>
        <w:br w:type="page"/>
      </w:r>
    </w:p>
    <w:p>
      <w:pPr>
        <w:snapToGrid w:val="0"/>
        <w:spacing w:before="156" w:beforeLines="50" w:line="500" w:lineRule="exact"/>
        <w:jc w:val="center"/>
        <w:rPr>
          <w:rFonts w:hint="eastAsia" w:ascii="仿宋" w:hAnsi="仿宋" w:eastAsia="仿宋" w:cs="仿宋"/>
          <w:sz w:val="24"/>
          <w:szCs w:val="24"/>
        </w:rPr>
      </w:pPr>
      <w:r>
        <w:rPr>
          <w:rFonts w:hint="eastAsia" w:ascii="仿宋" w:hAnsi="仿宋" w:eastAsia="仿宋" w:cs="仿宋"/>
          <w:sz w:val="24"/>
          <w:szCs w:val="24"/>
        </w:rPr>
        <w:t>5、投标函（格式）</w:t>
      </w:r>
    </w:p>
    <w:p>
      <w:pPr>
        <w:spacing w:line="500" w:lineRule="exact"/>
        <w:rPr>
          <w:rFonts w:hint="eastAsia" w:ascii="仿宋" w:hAnsi="仿宋" w:eastAsia="仿宋" w:cs="仿宋"/>
          <w:sz w:val="24"/>
          <w:szCs w:val="24"/>
        </w:rPr>
      </w:pPr>
    </w:p>
    <w:p>
      <w:pPr>
        <w:spacing w:line="50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spacing w:line="500" w:lineRule="exact"/>
        <w:rPr>
          <w:rFonts w:hint="eastAsia" w:ascii="仿宋" w:hAnsi="仿宋" w:eastAsia="仿宋" w:cs="仿宋"/>
          <w:sz w:val="24"/>
          <w:szCs w:val="24"/>
        </w:rPr>
      </w:pPr>
    </w:p>
    <w:p>
      <w:pPr>
        <w:tabs>
          <w:tab w:val="left" w:pos="6300"/>
        </w:tabs>
        <w:snapToGrid w:val="0"/>
        <w:spacing w:line="500" w:lineRule="exact"/>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snapToGrid w:val="0"/>
        <w:spacing w:before="156" w:beforeLines="50"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（投标人名称）系中华人民共和国合法企业，注册地址：</w:t>
      </w:r>
      <w:r>
        <w:rPr>
          <w:rFonts w:hint="eastAsia" w:ascii="仿宋" w:hAnsi="仿宋" w:eastAsia="仿宋" w:cs="仿宋"/>
          <w:sz w:val="24"/>
          <w:szCs w:val="24"/>
          <w:u w:val="single"/>
        </w:rPr>
        <w:t xml:space="preserve">                               </w:t>
      </w:r>
      <w:r>
        <w:rPr>
          <w:rFonts w:hint="eastAsia" w:ascii="仿宋" w:hAnsi="仿宋" w:eastAsia="仿宋" w:cs="仿宋"/>
          <w:sz w:val="24"/>
          <w:szCs w:val="24"/>
        </w:rPr>
        <w:t>。我方就参加本次投标有关事项郑重声明如下：</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一、我方完全理解并接受该项目招标文件所有要求。</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二、我方提交的所有投标文件、资料都是准确和真实的，如有虚假或隐瞒，我方愿意承担一切法律责任。</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三、我方承诺按照招标文件要求，提供招标项目的技术服务。</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四、我方按招标文件要求提交的投标文件为：投标文件正本1份，副本1份。</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五、我方承诺：本次投标的投标有效期为90天。</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五、我方投标报价为闭口价。即在投标有效期和合同有效期内，该报价固定不变。</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六、如果我方成交，我方将履行招标文件中规定的各项要求以及我方投标文件的各项承诺，按《政府采购法》、《合同法》及合同约定条款承担我方责任。</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七、我方理解，最低报价不是成交的唯一条件。</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八、我方同意按有关规定及招标文件要求，缴纳足额投标保证金。</w:t>
      </w:r>
    </w:p>
    <w:p>
      <w:pPr>
        <w:tabs>
          <w:tab w:val="left" w:pos="6300"/>
        </w:tabs>
        <w:snapToGrid w:val="0"/>
        <w:spacing w:line="500" w:lineRule="exact"/>
        <w:ind w:firstLine="480" w:firstLineChars="20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460" w:firstLineChars="2275"/>
        <w:rPr>
          <w:rFonts w:hint="eastAsia" w:ascii="仿宋" w:hAnsi="仿宋" w:eastAsia="仿宋" w:cs="仿宋"/>
          <w:sz w:val="24"/>
          <w:szCs w:val="24"/>
        </w:rPr>
      </w:pPr>
      <w:r>
        <w:rPr>
          <w:rFonts w:hint="eastAsia" w:ascii="仿宋" w:hAnsi="仿宋" w:eastAsia="仿宋" w:cs="仿宋"/>
          <w:sz w:val="24"/>
          <w:szCs w:val="24"/>
        </w:rPr>
        <w:t>（投标人公章）</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60" w:firstLineChars="2400"/>
        <w:rPr>
          <w:rFonts w:hint="eastAsia" w:ascii="仿宋" w:hAnsi="仿宋" w:eastAsia="仿宋" w:cs="仿宋"/>
          <w:sz w:val="24"/>
          <w:szCs w:val="24"/>
        </w:rPr>
      </w:pPr>
      <w:r>
        <w:rPr>
          <w:rFonts w:hint="eastAsia" w:ascii="仿宋" w:hAnsi="仿宋" w:eastAsia="仿宋" w:cs="仿宋"/>
          <w:sz w:val="24"/>
          <w:szCs w:val="24"/>
        </w:rPr>
        <w:t>年    月   日</w:t>
      </w:r>
    </w:p>
    <w:p>
      <w:pPr>
        <w:tabs>
          <w:tab w:val="left" w:pos="6300"/>
        </w:tabs>
        <w:snapToGrid w:val="0"/>
        <w:spacing w:line="500" w:lineRule="exact"/>
        <w:ind w:firstLine="5760" w:firstLineChars="2400"/>
        <w:rPr>
          <w:rFonts w:hint="eastAsia" w:ascii="仿宋" w:hAnsi="仿宋" w:eastAsia="仿宋" w:cs="仿宋"/>
          <w:sz w:val="24"/>
          <w:szCs w:val="24"/>
        </w:rPr>
      </w:pPr>
    </w:p>
    <w:p>
      <w:pPr>
        <w:tabs>
          <w:tab w:val="left" w:pos="6300"/>
        </w:tabs>
        <w:snapToGrid w:val="0"/>
        <w:spacing w:line="500" w:lineRule="exact"/>
        <w:jc w:val="left"/>
        <w:rPr>
          <w:rFonts w:hint="eastAsia" w:ascii="仿宋" w:hAnsi="仿宋" w:eastAsia="仿宋" w:cs="仿宋"/>
          <w:sz w:val="24"/>
          <w:szCs w:val="24"/>
        </w:rPr>
      </w:pPr>
      <w:r>
        <w:rPr>
          <w:rFonts w:hint="eastAsia" w:ascii="仿宋" w:hAnsi="仿宋" w:eastAsia="仿宋" w:cs="仿宋"/>
          <w:sz w:val="24"/>
          <w:szCs w:val="24"/>
        </w:rPr>
        <w:t>6、售后服务承诺（格式自拟）</w:t>
      </w:r>
    </w:p>
    <w:p>
      <w:pPr>
        <w:widowControl/>
        <w:jc w:val="center"/>
        <w:rPr>
          <w:rFonts w:hint="eastAsia" w:ascii="仿宋" w:hAnsi="仿宋" w:eastAsia="仿宋" w:cs="仿宋"/>
          <w:sz w:val="24"/>
          <w:szCs w:val="24"/>
        </w:rPr>
      </w:pPr>
      <w:bookmarkStart w:id="5" w:name="_Toc161727398"/>
      <w:r>
        <w:rPr>
          <w:rFonts w:hint="eastAsia" w:ascii="仿宋" w:hAnsi="仿宋" w:eastAsia="仿宋" w:cs="仿宋"/>
          <w:sz w:val="24"/>
          <w:szCs w:val="24"/>
        </w:rPr>
        <w:br w:type="page"/>
      </w:r>
      <w:bookmarkEnd w:id="5"/>
      <w:bookmarkStart w:id="6" w:name="_Toc101179065"/>
      <w:bookmarkStart w:id="7" w:name="_Toc161727400"/>
    </w:p>
    <w:bookmarkEnd w:id="6"/>
    <w:bookmarkEnd w:id="7"/>
    <w:p>
      <w:pPr>
        <w:tabs>
          <w:tab w:val="left" w:pos="6300"/>
        </w:tabs>
        <w:snapToGrid w:val="0"/>
        <w:spacing w:line="500" w:lineRule="exact"/>
        <w:jc w:val="left"/>
        <w:rPr>
          <w:rFonts w:hint="eastAsia" w:ascii="仿宋" w:hAnsi="仿宋" w:eastAsia="仿宋" w:cs="仿宋"/>
          <w:sz w:val="24"/>
          <w:szCs w:val="24"/>
        </w:rPr>
      </w:pPr>
      <w:bookmarkStart w:id="8" w:name="_Toc340223174"/>
      <w:bookmarkStart w:id="9" w:name="_Toc322965786"/>
      <w:r>
        <w:rPr>
          <w:rFonts w:hint="eastAsia" w:ascii="仿宋" w:hAnsi="仿宋" w:eastAsia="仿宋" w:cs="仿宋"/>
          <w:sz w:val="24"/>
          <w:szCs w:val="24"/>
        </w:rPr>
        <w:t>十一、其他说明</w:t>
      </w:r>
      <w:bookmarkEnd w:id="8"/>
      <w:bookmarkEnd w:id="9"/>
      <w:r>
        <w:rPr>
          <w:rFonts w:hint="eastAsia" w:ascii="仿宋" w:hAnsi="仿宋" w:eastAsia="仿宋" w:cs="仿宋"/>
          <w:sz w:val="24"/>
          <w:szCs w:val="24"/>
        </w:rPr>
        <w:t>（格式自拟）</w:t>
      </w:r>
    </w:p>
    <w:p>
      <w:pPr>
        <w:pStyle w:val="3"/>
        <w:rPr>
          <w:rFonts w:hint="eastAsia" w:ascii="仿宋" w:hAnsi="仿宋" w:eastAsia="仿宋" w:cs="仿宋"/>
          <w:sz w:val="24"/>
          <w:szCs w:val="2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5F5B4"/>
    <w:multiLevelType w:val="singleLevel"/>
    <w:tmpl w:val="5A25F5B4"/>
    <w:lvl w:ilvl="0" w:tentative="0">
      <w:start w:val="2"/>
      <w:numFmt w:val="chineseCounting"/>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11"/>
    <w:rsid w:val="00017410"/>
    <w:rsid w:val="000B569B"/>
    <w:rsid w:val="000D1827"/>
    <w:rsid w:val="000F67C5"/>
    <w:rsid w:val="00120B82"/>
    <w:rsid w:val="00134024"/>
    <w:rsid w:val="00137F89"/>
    <w:rsid w:val="0018670F"/>
    <w:rsid w:val="001C6516"/>
    <w:rsid w:val="001F6DDB"/>
    <w:rsid w:val="00232D4F"/>
    <w:rsid w:val="003D5353"/>
    <w:rsid w:val="003D59F3"/>
    <w:rsid w:val="003F7732"/>
    <w:rsid w:val="0045020F"/>
    <w:rsid w:val="005666C3"/>
    <w:rsid w:val="00587121"/>
    <w:rsid w:val="007416B7"/>
    <w:rsid w:val="007B27E1"/>
    <w:rsid w:val="007C716D"/>
    <w:rsid w:val="007D2E58"/>
    <w:rsid w:val="0088209A"/>
    <w:rsid w:val="008D1F11"/>
    <w:rsid w:val="00A02079"/>
    <w:rsid w:val="00A23D1A"/>
    <w:rsid w:val="00B04AD1"/>
    <w:rsid w:val="00B402A6"/>
    <w:rsid w:val="00B4150D"/>
    <w:rsid w:val="00BB4272"/>
    <w:rsid w:val="00C14A2F"/>
    <w:rsid w:val="00C2642C"/>
    <w:rsid w:val="00C801DB"/>
    <w:rsid w:val="00D15D7D"/>
    <w:rsid w:val="00D52C42"/>
    <w:rsid w:val="00D577A0"/>
    <w:rsid w:val="00DC05E2"/>
    <w:rsid w:val="00DD073B"/>
    <w:rsid w:val="00DF37CD"/>
    <w:rsid w:val="00E109CD"/>
    <w:rsid w:val="00E549AC"/>
    <w:rsid w:val="00EA7750"/>
    <w:rsid w:val="00EF2855"/>
    <w:rsid w:val="00F00597"/>
    <w:rsid w:val="00F6305E"/>
    <w:rsid w:val="00FF7BB8"/>
    <w:rsid w:val="010701D9"/>
    <w:rsid w:val="017D702E"/>
    <w:rsid w:val="03432539"/>
    <w:rsid w:val="04301CD8"/>
    <w:rsid w:val="0D25209A"/>
    <w:rsid w:val="0E422825"/>
    <w:rsid w:val="10EB4C08"/>
    <w:rsid w:val="13535AA4"/>
    <w:rsid w:val="1FE74B4D"/>
    <w:rsid w:val="2C5076C0"/>
    <w:rsid w:val="2E441DE2"/>
    <w:rsid w:val="338E38F9"/>
    <w:rsid w:val="34844F93"/>
    <w:rsid w:val="35677A29"/>
    <w:rsid w:val="3CAD0E99"/>
    <w:rsid w:val="3E32677A"/>
    <w:rsid w:val="49A52D6F"/>
    <w:rsid w:val="5D9350D9"/>
    <w:rsid w:val="66811B0D"/>
    <w:rsid w:val="6B270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150"/>
      <w:jc w:val="left"/>
    </w:pPr>
    <w:rPr>
      <w:rFonts w:ascii="宋体" w:hAnsi="宋体" w:eastAsia="宋体" w:cs="宋体"/>
      <w:kern w:val="0"/>
      <w:sz w:val="24"/>
      <w:szCs w:val="24"/>
    </w:rPr>
  </w:style>
  <w:style w:type="character" w:styleId="9">
    <w:name w:val="Hyperlink"/>
    <w:basedOn w:val="8"/>
    <w:qFormat/>
    <w:uiPriority w:val="99"/>
    <w:rPr>
      <w:color w:val="0000FF"/>
      <w:u w:val="single"/>
    </w:rPr>
  </w:style>
  <w:style w:type="character" w:customStyle="1" w:styleId="10">
    <w:name w:val="标题 2 Char"/>
    <w:basedOn w:val="8"/>
    <w:link w:val="3"/>
    <w:qFormat/>
    <w:uiPriority w:val="9"/>
    <w:rPr>
      <w:rFonts w:asciiTheme="majorHAnsi" w:hAnsiTheme="majorHAnsi" w:eastAsiaTheme="majorEastAsia" w:cstheme="majorBidi"/>
      <w:b/>
      <w:bCs/>
      <w:sz w:val="32"/>
      <w:szCs w:val="32"/>
    </w:rPr>
  </w:style>
  <w:style w:type="character" w:customStyle="1" w:styleId="11">
    <w:name w:val="标题 1 Char"/>
    <w:basedOn w:val="8"/>
    <w:link w:val="2"/>
    <w:qFormat/>
    <w:uiPriority w:val="9"/>
    <w:rPr>
      <w:b/>
      <w:bCs/>
      <w:kern w:val="44"/>
      <w:sz w:val="44"/>
      <w:szCs w:val="44"/>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font121"/>
    <w:basedOn w:val="8"/>
    <w:qFormat/>
    <w:uiPriority w:val="0"/>
    <w:rPr>
      <w:rFonts w:hint="eastAsia" w:ascii="微软雅黑" w:hAnsi="微软雅黑" w:eastAsia="微软雅黑" w:cs="微软雅黑"/>
      <w:b/>
      <w:color w:val="000000"/>
      <w:sz w:val="18"/>
      <w:szCs w:val="18"/>
      <w:u w:val="none"/>
    </w:rPr>
  </w:style>
  <w:style w:type="character" w:customStyle="1" w:styleId="15">
    <w:name w:val="font71"/>
    <w:basedOn w:val="8"/>
    <w:qFormat/>
    <w:uiPriority w:val="0"/>
    <w:rPr>
      <w:rFonts w:hint="eastAsia" w:ascii="微软雅黑" w:hAnsi="微软雅黑" w:eastAsia="微软雅黑" w:cs="微软雅黑"/>
      <w:color w:val="000000"/>
      <w:sz w:val="18"/>
      <w:szCs w:val="18"/>
      <w:u w:val="none"/>
    </w:rPr>
  </w:style>
  <w:style w:type="character" w:customStyle="1" w:styleId="16">
    <w:name w:val="font91"/>
    <w:basedOn w:val="8"/>
    <w:qFormat/>
    <w:uiPriority w:val="0"/>
    <w:rPr>
      <w:rFonts w:hint="eastAsia" w:ascii="微软雅黑" w:hAnsi="微软雅黑" w:eastAsia="微软雅黑" w:cs="微软雅黑"/>
      <w:b/>
      <w:color w:val="000000"/>
      <w:sz w:val="18"/>
      <w:szCs w:val="18"/>
      <w:u w:val="none"/>
    </w:rPr>
  </w:style>
  <w:style w:type="character" w:customStyle="1" w:styleId="17">
    <w:name w:val="font61"/>
    <w:basedOn w:val="8"/>
    <w:qFormat/>
    <w:uiPriority w:val="0"/>
    <w:rPr>
      <w:rFonts w:hint="eastAsia" w:ascii="微软雅黑" w:hAnsi="微软雅黑" w:eastAsia="微软雅黑" w:cs="微软雅黑"/>
      <w:color w:val="000000"/>
      <w:sz w:val="18"/>
      <w:szCs w:val="18"/>
      <w:u w:val="none"/>
    </w:rPr>
  </w:style>
  <w:style w:type="character" w:customStyle="1" w:styleId="18">
    <w:name w:val="font31"/>
    <w:basedOn w:val="8"/>
    <w:qFormat/>
    <w:uiPriority w:val="0"/>
    <w:rPr>
      <w:rFonts w:hint="eastAsia" w:ascii="微软雅黑" w:hAnsi="微软雅黑" w:eastAsia="微软雅黑" w:cs="微软雅黑"/>
      <w:b/>
      <w:color w:val="000000"/>
      <w:sz w:val="18"/>
      <w:szCs w:val="18"/>
      <w:u w:val="none"/>
    </w:rPr>
  </w:style>
  <w:style w:type="character" w:customStyle="1" w:styleId="19">
    <w:name w:val="font11"/>
    <w:basedOn w:val="8"/>
    <w:qFormat/>
    <w:uiPriority w:val="0"/>
    <w:rPr>
      <w:rFonts w:hint="eastAsia" w:ascii="微软雅黑" w:hAnsi="微软雅黑" w:eastAsia="微软雅黑" w:cs="微软雅黑"/>
      <w:b/>
      <w:color w:val="000000"/>
      <w:sz w:val="18"/>
      <w:szCs w:val="18"/>
      <w:u w:val="none"/>
    </w:rPr>
  </w:style>
  <w:style w:type="character" w:customStyle="1" w:styleId="20">
    <w:name w:val="font41"/>
    <w:basedOn w:val="8"/>
    <w:uiPriority w:val="0"/>
    <w:rPr>
      <w:rFonts w:hint="eastAsia" w:ascii="微软雅黑" w:hAnsi="微软雅黑" w:eastAsia="微软雅黑" w:cs="微软雅黑"/>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856</Words>
  <Characters>4882</Characters>
  <Lines>40</Lines>
  <Paragraphs>11</Paragraphs>
  <TotalTime>2</TotalTime>
  <ScaleCrop>false</ScaleCrop>
  <LinksUpToDate>false</LinksUpToDate>
  <CharactersWithSpaces>5727</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2017-06-20T09:08:00Z</dcterms:created>
  <dc:creator>lenovo</dc:creator>
  <cp:lastModifiedBy>翔哥</cp:lastModifiedBy>
  <dcterms:modified xsi:type="dcterms:W3CDTF">2020-11-13T03:22:08Z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