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2530" w:firstLineChars="700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snapToGrid w:val="0"/>
        <w:spacing w:line="400" w:lineRule="exact"/>
        <w:ind w:firstLine="2891" w:firstLineChars="800"/>
        <w:rPr>
          <w:rFonts w:hint="default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12" w:name="_GoBack"/>
      <w:bookmarkEnd w:id="12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竞争性谈判邀请书</w:t>
      </w:r>
    </w:p>
    <w:p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snapToGrid w:val="0"/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圣弘建设股份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有限公司（以下简称：采购代理机构）接受重庆八中宏帆初级中学校的委托，对“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>重庆八中宏帆初级中学校录播教室建设项目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”进行竞争性谈判采购。欢迎有资格的供应商前来参加谈判。</w:t>
      </w:r>
    </w:p>
    <w:p>
      <w:pPr>
        <w:pStyle w:val="2"/>
        <w:spacing w:before="200" w:after="200"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Toc317775175"/>
      <w:bookmarkStart w:id="1" w:name="_Toc313893526"/>
      <w:bookmarkStart w:id="2" w:name="_Toc1246575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一、竞争性谈判内容</w:t>
      </w:r>
      <w:bookmarkEnd w:id="0"/>
      <w:bookmarkEnd w:id="1"/>
      <w:bookmarkEnd w:id="2"/>
    </w:p>
    <w:tbl>
      <w:tblPr>
        <w:tblStyle w:val="3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711"/>
        <w:gridCol w:w="1531"/>
        <w:gridCol w:w="1304"/>
        <w:gridCol w:w="1134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采购范围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采购预算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保证金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成交供应商数量（名）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重庆八中宏帆初级中学校录播教室建设项目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批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录播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设备，装修装饰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无</w:t>
            </w:r>
          </w:p>
        </w:tc>
      </w:tr>
    </w:tbl>
    <w:p>
      <w:pPr>
        <w:pStyle w:val="2"/>
        <w:spacing w:before="200" w:after="200"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3" w:name="_Toc12465756"/>
      <w:bookmarkStart w:id="4" w:name="_Toc373860293"/>
      <w:bookmarkStart w:id="5" w:name="_Toc31777517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二、资金来源</w:t>
      </w:r>
      <w:bookmarkEnd w:id="3"/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自筹资金</w:t>
      </w:r>
    </w:p>
    <w:p>
      <w:pPr>
        <w:pStyle w:val="2"/>
        <w:spacing w:before="200" w:after="200"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6" w:name="_Toc12465757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三、谈判资格</w:t>
      </w:r>
      <w:bookmarkEnd w:id="6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谈判供应商是指向采购人提供货物、工程或者服务的法人、其他组织或者自然人。以下简称供应商。合格的供应商应符合政府采购法第二十二条规定的基本条件，并满足特定资格条件。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（一）一般资格条件：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1.具有独立承担民事责任的能力；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2.具有良好的商业信誉和健全的财务会计制度；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3.具有履行合同所必需的设备和专业技术能力；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5.参加政府采购活动前三年内，在经营活动中没有重大违法记录；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6.法律、行政法规规定的其他条件。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（二）特定资格条件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无</w:t>
      </w:r>
    </w:p>
    <w:p>
      <w:pPr>
        <w:pStyle w:val="2"/>
        <w:spacing w:before="200" w:after="200"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7" w:name="_Toc1246575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四、谈判有关说明</w:t>
      </w:r>
      <w:bookmarkEnd w:id="4"/>
      <w:bookmarkEnd w:id="7"/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（一）凡有意参加谈判的供应商，请于公告发布之日（2019年6 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日）起至提交首次响应文件截止时间之前，在重庆八中宏帆初级中学校校园网（http://www.cqbz.cn/hongfan/）上下载或到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圣弘建设股份有限公司重庆分公司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领取本项目竞争性谈判文件以及谈判前公布的所有项目资料，无论供应商下载或领取与否，均视为已知晓所有谈判实质性要求内容。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（二）请于 2019年6月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日至2019年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日（法定公休日、法定节假日除外）， 每日上午 9：00时至12：00时，下午14：00时至 17：00时（北京时间，下同 ），在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圣弘建设股份有限公司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（重庆市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九龙坡区华润二十四城四期39幢2506号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）持企业营业执照副本原件、单位介绍信、法人身份证及上述资料复印件一套购买竞争性谈判文件。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（三）竞争性谈判文件售价:</w:t>
      </w:r>
      <w:r>
        <w:rPr>
          <w:rFonts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元/份（售后不退）。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（四）供应商须满足以下三种要件，其响应文件才被接受：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1、按时购买了竞争性谈判文件；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2、按时缴纳了投标保证金；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3、按时递交了响应文件。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（五）谈判地点：重庆市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九龙坡区华润二十四城四期39幢2506号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（六）提交响应文件开始时间：2019年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日北京时间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（七）提交响应文件截止时间：2019年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日北京时间1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（八）谈判开始时间：2019年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日北京时间1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0。</w:t>
      </w:r>
    </w:p>
    <w:p>
      <w:pPr>
        <w:pStyle w:val="2"/>
        <w:spacing w:before="200" w:after="200"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8" w:name="_Toc1246575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五、投标保证金</w:t>
      </w:r>
      <w:bookmarkEnd w:id="8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9" w:name="_Toc479668114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（一）、投标保证金的交纳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1、投标保证金金额：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000.00元（大写：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壹万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元整）。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2、投标保证金提交方式：现场以信封方式密封提交。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3、投标保证金应在投标截止日期后10天内有效。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（二）、投标保证金的退还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成交人以外的供应商的投标保证金在招标会结束后退还；成交人的投标保证金在成交人签订合同后退还。</w:t>
      </w:r>
    </w:p>
    <w:bookmarkEnd w:id="9"/>
    <w:p>
      <w:pPr>
        <w:pStyle w:val="2"/>
        <w:spacing w:before="200" w:after="200"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0" w:name="_Toc1246576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六、</w:t>
      </w:r>
      <w:bookmarkEnd w:id="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其它有关规定</w:t>
      </w:r>
      <w:bookmarkEnd w:id="10"/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（一）单位负责人为同一人或者存在直接控股、管理关系的不同供应商，不得参加同一合同项（分包）下的政府采购活动，否则均为无效谈判。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（二）为采购项目提供整体设计、规范编制或者项目管理、监理、检测等服务的供应商，不得再参加该采购项目的其他采购活动。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（三）同一合同项（分包）下为单一品目的货物采购中，同一品牌的同一型号产品有多家供应商参加谈判，只能按照一家供应商计算。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（四）同一合同项（分包）下的货物，制造商参与谈判的，不得再委托代理商参与谈判。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（五）本项目的补遗文件（如果有）一律在重庆八中宏帆初级中学校校园网（http://www.cqbz.cn/hongfan/）发布，请各供应商注意下载或到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圣弘建设股份有限公司重庆分公司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领取；无论供应商下载或领取与否，均视同供应商已知晓本项目补遗文件（如果有）的内容。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（六）超过响应文件截止时间递交的响应文件，恕不接收。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（七）谈判费用：无论谈判结果如何，供应商参与本项目谈判的所有费用均应由供应商自行承担。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（八）列入失信被执行人、重大税收违法案件当事人名单、政府采购严重违法失信行为记录名单等及其他不符合《中华人民共和国政府采购法》第二十二条规定条件的供应商，将拒绝其参与政府采购活动。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1、供应商可通过信用中国网站（</w:t>
      </w:r>
      <w:r>
        <w:rPr>
          <w:rFonts w:hint="eastAsia" w:ascii="仿宋" w:hAnsi="仿宋" w:eastAsia="仿宋" w:cs="仿宋"/>
          <w:color w:val="auto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highlight w:val="none"/>
        </w:rPr>
        <w:instrText xml:space="preserve">HYPERLINK "http://www.creditchina.gov.cn"</w:instrText>
      </w:r>
      <w:r>
        <w:rPr>
          <w:rFonts w:hint="eastAsia" w:ascii="仿宋" w:hAnsi="仿宋" w:eastAsia="仿宋" w:cs="仿宋"/>
          <w:color w:val="auto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www.creditchina.gov.cn</w:t>
      </w:r>
      <w:r>
        <w:rPr>
          <w:rFonts w:hint="eastAsia" w:ascii="仿宋" w:hAnsi="仿宋" w:eastAsia="仿宋" w:cs="仿宋"/>
          <w:color w:val="auto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）查询以下内容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1.1、“失信被执行人”；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1.2、“重大税收违法案件当事人名单”；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1.3、“政府采购严重违法失信名单”；</w:t>
      </w:r>
    </w:p>
    <w:p>
      <w:pPr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2、供应商可通过中国政府采购网（www.ccgp.gov.cn）查询“政府采购严重违法失信行为记录名单”</w:t>
      </w:r>
    </w:p>
    <w:p>
      <w:pPr>
        <w:pStyle w:val="2"/>
        <w:spacing w:before="200" w:after="200"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1" w:name="_Toc1246576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七、联系方式</w:t>
      </w:r>
      <w:bookmarkEnd w:id="11"/>
    </w:p>
    <w:p>
      <w:pPr>
        <w:snapToGrid w:val="0"/>
        <w:spacing w:line="38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（一）采购人：重庆八中宏帆初级中学校</w:t>
      </w:r>
    </w:p>
    <w:p>
      <w:pPr>
        <w:snapToGrid w:val="0"/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 址： 重庆市江北区石马河宏盛路23号</w:t>
      </w:r>
    </w:p>
    <w:p>
      <w:pPr>
        <w:snapToGrid w:val="0"/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联系人：陈老师</w:t>
      </w:r>
    </w:p>
    <w:p>
      <w:pPr>
        <w:snapToGrid w:val="0"/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  话：18696623533</w:t>
      </w:r>
    </w:p>
    <w:p>
      <w:pPr>
        <w:snapToGrid w:val="0"/>
        <w:spacing w:line="380" w:lineRule="exact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（二）采购代理机构：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圣弘建设股份有限公司</w:t>
      </w:r>
    </w:p>
    <w:p>
      <w:pPr>
        <w:snapToGrid w:val="0"/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 址：重庆市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九龙坡区华润二十四城四期39幢2506号</w:t>
      </w:r>
    </w:p>
    <w:p>
      <w:pPr>
        <w:snapToGrid w:val="0"/>
        <w:spacing w:line="380" w:lineRule="exact"/>
        <w:ind w:firstLine="720" w:firstLineChars="3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刘老师</w:t>
      </w:r>
    </w:p>
    <w:p>
      <w:pPr>
        <w:snapToGrid w:val="0"/>
        <w:spacing w:line="380" w:lineRule="exact"/>
        <w:ind w:firstLine="720" w:firstLineChars="30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sectPr>
          <w:pgSz w:w="11907" w:h="16840"/>
          <w:pgMar w:top="1134" w:right="1418" w:bottom="1134" w:left="1418" w:header="964" w:footer="992" w:gutter="0"/>
          <w:pgNumType w:fmt="numberInDash" w:start="1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  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13668042236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21194"/>
    <w:rsid w:val="2612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2019-06-27T06:17:00Z</dcterms:created>
  <dc:creator>zuozuo</dc:creator>
  <cp:lastModifiedBy>zuozuo</cp:lastModifiedBy>
  <dcterms:modified xsi:type="dcterms:W3CDTF">2019-06-27T06:19:16Z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